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Reed Joshua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BINNEY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Scholar Rock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SRRK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1"/>
        <w:gridCol w:w="914"/>
        <w:gridCol w:w="783"/>
        <w:gridCol w:w="607"/>
        <w:gridCol w:w="346"/>
        <w:gridCol w:w="878"/>
        <w:gridCol w:w="440"/>
        <w:gridCol w:w="982"/>
        <w:gridCol w:w="1144"/>
        <w:gridCol w:w="986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53.4958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54.2814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10b-5-1 trading plan adopted on March 21, 2026 to cover tax obligations upon the vesting and settlement of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$53.050 to $54.030,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Consists of 13,627 shares of common stock and 6,839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 shares were sold in multiple transactions at prices ranging from $54.040 to $54.795,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Consists of 12,679 shares of common stock and 6,839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Junlin Ho, attorney-in-fact for Joshua Reed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6541" TargetMode="External"/><Relationship Id="rId5" Type="http://schemas.openxmlformats.org/officeDocument/2006/relationships/hyperlink" Target="http://www.sec.gov/cgi-bin/browse-edgar?action=getcompany&amp;CIK=0001727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717</Words>
  <Characters>3827</Characters>
  <CharactersWithSpaces>4478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