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Peng Katie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BINNEY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Scholar Rock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SRRK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1"/>
        <w:gridCol w:w="914"/>
        <w:gridCol w:w="783"/>
        <w:gridCol w:w="607"/>
        <w:gridCol w:w="346"/>
        <w:gridCol w:w="878"/>
        <w:gridCol w:w="440"/>
        <w:gridCol w:w="982"/>
        <w:gridCol w:w="1144"/>
        <w:gridCol w:w="986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53.5598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36,759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54.2526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54.9641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10b-5-1 trading plan adopted on March 20, 2026 to cover tax obligations upon the vesting and settlement of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 shares were sold in multiple transactions at prices ranging from $52.970 to $53.965, inclusive. Full information regarding the number of shares sold at each separate price can be furnished to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Consists of 23,958 shares of common stock and 12,801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 shares were sold in multiple transactions at prices ranging from $53.967 to $54.815, inclusive. Full information regarding the number of shares sold at each separate price can be furnished to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Consists of 21,521 shares of common stock and 12,801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 weighted average price. The shares were sold in multiple transactions at prices ranging from $54.860 to $55.016, inclusive. Full information regarding the number of shares sold at each separate price can be furnished to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Consists of 21,500 shares of common stock and 12,801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Junlin Ho, attorney-in-fact for Katie Peng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83850" TargetMode="External"/><Relationship Id="rId5" Type="http://schemas.openxmlformats.org/officeDocument/2006/relationships/hyperlink" Target="http://www.sec.gov/cgi-bin/browse-edgar?action=getcompany&amp;CIK=00017271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785</Words>
  <Characters>4168</Characters>
  <CharactersWithSpaces>4880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