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083-1_424b5.htm"/>
        <w:bookmarkStart w:id="1" w:name="kstm2622083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10"/>
        </w:rPr>
        <w:t> </w:t>
      </w:r>
      <w:r>
        <w:rPr>
          <w:rFonts w:ascii="Arial Narrow;Helvetica;sans-serif" w:hAnsi="Arial Narrow;Helvetica;sans-serif"/>
          <w:b/>
          <w:i w:val="false"/>
          <w:caps w:val="false"/>
          <w:smallCaps w:val="false"/>
          <w:color w:val="000000"/>
          <w:spacing w:val="10"/>
          <w:sz w:val="20"/>
        </w:rPr>
        <w:t>Filed pursuant to 424(b)(5)</w:t>
      </w:r>
      <w:r>
        <w:rPr>
          <w:rFonts w:ascii="Arial Narrow;Helvetica;sans-serif" w:hAnsi="Arial Narrow;Helvetica;san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10"/>
        </w:rPr>
        <w:t> </w:t>
      </w:r>
      <w:r>
        <w:rPr>
          <w:rFonts w:ascii="Arial Narrow;Helvetica;sans-serif" w:hAnsi="Arial Narrow;Helvetica;sans-serif"/>
          <w:b/>
          <w:i w:val="false"/>
          <w:caps w:val="false"/>
          <w:smallCaps w:val="false"/>
          <w:color w:val="000000"/>
          <w:spacing w:val="10"/>
          <w:sz w:val="20"/>
        </w:rPr>
        <w:t>Registration No. 333-282530</w:t>
      </w:r>
      <w:r>
        <w:rPr>
          <w:rFonts w:ascii="Arial Narrow;Helvetica;sans-serif" w:hAnsi="Arial Narrow;Helvetica;sans-serif"/>
          <w:b/>
          <w:i w:val="false"/>
          <w:caps w:val="false"/>
          <w:smallCaps w:val="false"/>
          <w:color w:val="000000"/>
          <w:sz w:val="20"/>
        </w:rPr>
        <w:t>​</w:t>
      </w:r>
    </w:p>
    <w:p>
      <w:pPr>
        <w:pStyle w:val="TextBody"/>
        <w:bidi w:val="0"/>
        <w:spacing w:lineRule="atLeast" w:line="240" w:before="160" w:after="283"/>
        <w:jc w:val="left"/>
        <w:rPr>
          <w:rFonts w:ascii="Arial Narrow;Helvetica;sans-serif" w:hAnsi="Arial Narrow;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PROSPECTUS SUPPLEMENT</w:t>
      </w:r>
      <w:r>
        <w:rPr>
          <w:rFonts w:ascii="Arial Narrow;Helvetica;sans-serif" w:hAnsi="Arial Narrow;Helvetica;sans-serif"/>
          <w:b w:val="false"/>
          <w:i w:val="false"/>
          <w:caps w:val="false"/>
          <w:smallCaps w:val="false"/>
          <w:color w:val="000000"/>
          <w:sz w:val="19"/>
        </w:rPr>
        <w:t xml:space="preserve"> </w:t>
        <w:br/>
      </w:r>
      <w:r>
        <w:rPr>
          <w:rFonts w:ascii="Arial;Helvetica;sans-serif" w:hAnsi="Arial;Helvetica;sans-serif"/>
          <w:b w:val="false"/>
          <w:i w:val="false"/>
          <w:caps w:val="false"/>
          <w:smallCaps w:val="false"/>
          <w:color w:val="000000"/>
          <w:spacing w:val="-1"/>
          <w:sz w:val="19"/>
        </w:rPr>
        <w:t>(to Prospectus dated October 7, 2024)</w:t>
      </w:r>
      <w:r>
        <w:rPr>
          <w:rFonts w:ascii="Arial Narrow;Helvetica;sans-serif" w:hAnsi="Arial Narrow;Helvetica;sans-serif"/>
          <w:b w:val="false"/>
          <w:i w:val="false"/>
          <w:caps w:val="false"/>
          <w:smallCaps w:val="false"/>
          <w:color w:val="000000"/>
          <w:spacing w:val="4"/>
          <w:sz w:val="19"/>
        </w:rPr>
        <w:t xml:space="preserve"> </w:t>
      </w:r>
    </w:p>
    <w:p>
      <w:pPr>
        <w:pStyle w:val="TextBody"/>
        <w:bidi w:val="0"/>
        <w:spacing w:lineRule="atLeast" w:line="370" w:before="16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val="false"/>
          <w:smallCaps w:val="false"/>
          <w:color w:val="000000"/>
          <w:spacing w:val="16"/>
          <w:sz w:val="32"/>
        </w:rPr>
        <w:t>Scholar Rock Holding Corporation</w:t>
      </w:r>
      <w:r>
        <w:rPr>
          <w:rFonts w:ascii="Arial Narrow;Helvetica;sans-serif" w:hAnsi="Arial Narrow;Helvetica;sans-serif"/>
          <w:b/>
          <w:i w:val="false"/>
          <w:caps w:val="false"/>
          <w:smallCaps w:val="false"/>
          <w:color w:val="000000"/>
          <w:spacing w:val="6"/>
          <w:sz w:val="32"/>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32004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28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Up to $200,000,000</w:t>
      </w:r>
      <w:r>
        <w:rPr>
          <w:rFonts w:ascii="Arial Narrow;Helvetica;sans-serif" w:hAnsi="Arial Narrow;Helvetica;sans-serif"/>
          <w:b/>
          <w:i w:val="false"/>
          <w:caps w:val="false"/>
          <w:smallCaps w:val="false"/>
          <w:color w:val="000000"/>
          <w:spacing w:val="6"/>
          <w:sz w:val="28"/>
        </w:rPr>
        <w:t xml:space="preserve"> </w:t>
      </w:r>
    </w:p>
    <w:p>
      <w:pPr>
        <w:pStyle w:val="TextBody"/>
        <w:bidi w:val="0"/>
        <w:spacing w:lineRule="atLeast" w:line="330" w:before="16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Common Stock</w:t>
      </w:r>
      <w:r>
        <w:rPr>
          <w:rFonts w:ascii="Arial Narrow;Helvetica;sans-serif" w:hAnsi="Arial Narrow;Helvetica;sans-serif"/>
          <w:b/>
          <w:i w:val="false"/>
          <w:caps w:val="false"/>
          <w:smallCaps w:val="false"/>
          <w:color w:val="000000"/>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previously entered into a certain Open Market Sale Agreement</w:t>
      </w:r>
      <w:r>
        <w:rPr>
          <w:rFonts w:ascii="Arial;Helvetica;sans-serif" w:hAnsi="Arial;Helvetica;sans-serif"/>
          <w:b w:val="false"/>
          <w:i w:val="false"/>
          <w:caps w:val="false"/>
          <w:smallCaps w:val="false"/>
          <w:color w:val="000000"/>
          <w:spacing w:val="-5"/>
          <w:sz w:val="14"/>
        </w:rPr>
        <w:t>SM</w:t>
      </w:r>
      <w:r>
        <w:rPr>
          <w:rFonts w:ascii="Arial;Helvetica;sans-serif" w:hAnsi="Arial;Helvetica;sans-serif"/>
          <w:b w:val="false"/>
          <w:i w:val="false"/>
          <w:caps w:val="false"/>
          <w:smallCaps w:val="false"/>
          <w:color w:val="000000"/>
          <w:spacing w:val="-1"/>
          <w:sz w:val="19"/>
        </w:rPr>
        <w:t xml:space="preserve"> dated November 14, 2022 (the “sales agreement”) with Jefferies LLC (“Jefferies”) relating to shares of our common stock offered by this prospectus. In accordance with the terms of the sales agreement, we may offer and sell shares of our common stock having an aggregate offering price of up to $200,000,000 from time to time through Jefferies, acting as agent.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supplement is being filed to increase the remaining shares of our common stock available for issuance under the sales agreement to $200,000,000 and supersedes that certain prospectus supplement, dated November 14, 2025 (the “Prior Prospectus Supplement”), in its entirety. As of the date of this prospectus supplement, we have sold shares of our common stock having an aggregate net proceeds of approximately $257.7 million pursuant to the sales agreement and prior prospectuses and no further shares will be sold under the Prior Prospectus Supplement.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common stock is listed on The Nasdaq Global Select Market under the symbol “SRRK.” On August 3, 2026, the closing price of our common stock, as reported on The Nasdaq Global Select Market, was $</w:t>
      </w:r>
      <w:r>
        <w:rPr>
          <w:rFonts w:ascii="Arial;Helvetica;sans-serif" w:hAnsi="Arial;Helvetica;sans-serif"/>
          <w:b w:val="false"/>
          <w:i w:val="false"/>
          <w:caps w:val="false"/>
          <w:smallCaps w:val="false"/>
          <w:color w:val="000000"/>
          <w:spacing w:val="-7"/>
          <w:sz w:val="19"/>
        </w:rPr>
        <w:t xml:space="preserve">45.85 </w:t>
      </w:r>
      <w:r>
        <w:rPr>
          <w:rFonts w:ascii="Arial;Helvetica;sans-serif" w:hAnsi="Arial;Helvetica;sans-serif"/>
          <w:b w:val="false"/>
          <w:i w:val="false"/>
          <w:caps w:val="false"/>
          <w:smallCaps w:val="false"/>
          <w:color w:val="000000"/>
          <w:spacing w:val="-1"/>
          <w:sz w:val="19"/>
        </w:rPr>
        <w:t>per share.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Sales of our common stock, if any, under this prospectus may be made in sales deemed to be “at the market offerings” as defined in Rule 415(a)(4) promulgated under the Securities Act of 1933, as amended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pPr>
      <w:r>
        <w:rPr>
          <w:rFonts w:ascii="Arial;Helvetica;sans-serif" w:hAnsi="Arial;Helvetica;sans-serif"/>
          <w:b w:val="false"/>
          <w:i w:val="false"/>
          <w:caps w:val="false"/>
          <w:smallCaps w:val="false"/>
          <w:color w:val="000000"/>
          <w:spacing w:val="-1"/>
          <w:sz w:val="19"/>
        </w:rPr>
        <w:t xml:space="preserve">The compensation to Jefferies for sales of common stock sold pursuant to the sales agreement will be up to 3.0% of the gross proceeds of any shares of common stock sold under the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See the section titled “Plan of Distribution” on page </w:t>
      </w:r>
      <w:hyperlink w:anchor="sPOD">
        <w:r>
          <w:rPr>
            <w:rStyle w:val="InternetLink"/>
            <w:rFonts w:ascii="Arial;Helvetica;sans-serif" w:hAnsi="Arial;Helvetica;sans-serif"/>
            <w:b w:val="false"/>
            <w:i w:val="false"/>
            <w:caps w:val="false"/>
            <w:smallCaps w:val="false"/>
            <w:color w:val="000000"/>
            <w:spacing w:val="-7"/>
            <w:sz w:val="19"/>
          </w:rPr>
          <w:t>S-13</w:t>
        </w:r>
      </w:hyperlink>
      <w:r>
        <w:rPr>
          <w:rFonts w:ascii="Arial;Helvetica;sans-serif" w:hAnsi="Arial;Helvetica;sans-serif"/>
          <w:b w:val="false"/>
          <w:i w:val="false"/>
          <w:caps w:val="false"/>
          <w:smallCaps w:val="false"/>
          <w:color w:val="000000"/>
          <w:spacing w:val="-1"/>
          <w:sz w:val="19"/>
        </w:rPr>
        <w:t xml:space="preserve"> of this prospectus.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pPr>
      <w:r>
        <w:rPr>
          <w:rFonts w:ascii="Arial Narrow;Helvetica;sans-serif" w:hAnsi="Arial Narrow;Helvetica;sans-serif"/>
          <w:b/>
          <w:i w:val="false"/>
          <w:caps w:val="false"/>
          <w:smallCaps w:val="false"/>
          <w:color w:val="000000"/>
          <w:spacing w:val="10"/>
          <w:sz w:val="19"/>
        </w:rPr>
        <w:t>Investing in our common stock involves a high degree of risk. You should review carefully the risks and uncertainties referenced under the heading “</w:t>
      </w:r>
      <w:r>
        <w:rPr>
          <w:rFonts w:ascii="Arial Narrow;Helvetica;sans-serif" w:hAnsi="Arial Narrow;Helvetica;sans-serif"/>
          <w:b/>
          <w:i/>
          <w:caps w:val="false"/>
          <w:smallCaps w:val="false"/>
          <w:color w:val="000000"/>
          <w:spacing w:val="10"/>
          <w:sz w:val="19"/>
        </w:rPr>
        <w:t>Risk Factors</w:t>
      </w:r>
      <w:r>
        <w:rPr>
          <w:rFonts w:ascii="Arial Narrow;Helvetica;sans-serif" w:hAnsi="Arial Narrow;Helvetica;sans-serif"/>
          <w:b/>
          <w:i w:val="false"/>
          <w:caps w:val="false"/>
          <w:smallCaps w:val="false"/>
          <w:color w:val="000000"/>
          <w:spacing w:val="10"/>
          <w:sz w:val="19"/>
        </w:rPr>
        <w:t xml:space="preserve">” on page </w:t>
      </w:r>
      <w:hyperlink w:anchor="sRIFA">
        <w:r>
          <w:rPr>
            <w:rStyle w:val="InternetLink"/>
          </w:rPr>
          <w:t>S-6</w:t>
        </w:r>
      </w:hyperlink>
      <w:r>
        <w:rPr>
          <w:rFonts w:ascii="Arial Narrow;Helvetica;sans-serif" w:hAnsi="Arial Narrow;Helvetica;sans-serif"/>
          <w:b/>
          <w:i w:val="false"/>
          <w:caps w:val="false"/>
          <w:smallCaps w:val="false"/>
          <w:color w:val="000000"/>
          <w:spacing w:val="10"/>
          <w:sz w:val="19"/>
        </w:rPr>
        <w:t xml:space="preserve"> of this prospectus and in the documents that are incorporated by reference into this prospectus.</w:t>
      </w:r>
      <w:r>
        <w:rPr>
          <w:rFonts w:ascii="Arial Narrow;Helvetica;sans-serif" w:hAnsi="Arial Narrow;Helvetica;sans-serif"/>
          <w:b/>
          <w:i w:val="false"/>
          <w:caps w:val="false"/>
          <w:smallCaps w:val="false"/>
          <w:color w:val="000000"/>
          <w:spacing w:val="4"/>
          <w:sz w:val="19"/>
        </w:rPr>
        <w:t xml:space="preserve"> </w:t>
      </w:r>
    </w:p>
    <w:p>
      <w:pPr>
        <w:pStyle w:val="TextBody"/>
        <w:bidi w:val="0"/>
        <w:spacing w:lineRule="atLeast" w:line="240" w:before="160" w:after="283"/>
        <w:jc w:val="left"/>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Narrow;Helvetica;sans-serif" w:hAnsi="Arial Narrow;Helvetica;san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70" w:before="26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val="false"/>
          <w:smallCaps w:val="false"/>
          <w:color w:val="000000"/>
          <w:spacing w:val="16"/>
          <w:sz w:val="32"/>
        </w:rPr>
        <w:t>Jefferies</w:t>
      </w:r>
      <w:r>
        <w:rPr>
          <w:rFonts w:ascii="Arial Narrow;Helvetica;sans-serif" w:hAnsi="Arial Narrow;Helvetica;sans-serif"/>
          <w:b/>
          <w:i w:val="false"/>
          <w:caps w:val="false"/>
          <w:smallCaps w:val="false"/>
          <w:color w:val="000000"/>
          <w:spacing w:val="6"/>
          <w:sz w:val="32"/>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date of this prospectus is August 6, 2026</w:t>
      </w:r>
      <w:r>
        <w:rPr>
          <w:rFonts w:ascii="Arial;Helvetica;sans-serif" w:hAnsi="Arial;Helvetica;san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8283" w:type="dxa"/>
        <w:jc w:val="left"/>
        <w:tblInd w:w="1393" w:type="dxa"/>
        <w:tblLayout w:type="fixed"/>
        <w:tblCellMar>
          <w:top w:w="0" w:type="dxa"/>
          <w:left w:w="0" w:type="dxa"/>
          <w:bottom w:w="0" w:type="dxa"/>
          <w:right w:w="0" w:type="dxa"/>
        </w:tblCellMar>
      </w:tblPr>
      <w:tblGrid>
        <w:gridCol w:w="6975"/>
        <w:gridCol w:w="109"/>
        <w:gridCol w:w="109"/>
        <w:gridCol w:w="109"/>
        <w:gridCol w:w="109"/>
        <w:gridCol w:w="609"/>
        <w:gridCol w:w="109"/>
        <w:gridCol w:w="154"/>
      </w:tblGrid>
      <w:tr>
        <w:trPr/>
        <w:tc>
          <w:tcPr>
            <w:tcW w:w="6975" w:type="dxa"/>
            <w:tcBorders/>
            <w:vAlign w:val="center"/>
          </w:tcPr>
          <w:p>
            <w:pPr>
              <w:pStyle w:val="TableContents"/>
              <w:bidi w:val="0"/>
              <w:spacing w:before="0" w:after="0"/>
              <w:jc w:val="left"/>
              <w:rPr/>
            </w:pPr>
            <w:r>
              <w:rPr>
                <w:spacing w:val="10"/>
              </w:rPr>
              <w:t>Table of Contents</w:t>
            </w:r>
            <w:r>
              <w:rPr/>
              <w:t xml:space="preserve">​ </w:t>
            </w:r>
          </w:p>
        </w:tc>
        <w:tc>
          <w:tcPr>
            <w:tcW w:w="109" w:type="dxa"/>
            <w:tcBorders/>
            <w:vAlign w:val="center"/>
          </w:tcPr>
          <w:p>
            <w:pPr>
              <w:pStyle w:val="TableContents"/>
              <w:bidi w:val="0"/>
              <w:spacing w:before="0" w:after="283"/>
              <w:jc w:val="left"/>
              <w:rPr/>
            </w:pPr>
            <w:r>
              <w:rPr/>
              <w:t>​</w:t>
            </w:r>
          </w:p>
        </w:tc>
        <w:tc>
          <w:tcPr>
            <w:tcW w:w="1199"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8129" w:type="dxa"/>
            <w:gridSpan w:val="7"/>
            <w:tcBorders/>
            <w:vAlign w:val="center"/>
          </w:tcPr>
          <w:p>
            <w:pPr>
              <w:pStyle w:val="TableContents"/>
              <w:bidi w:val="0"/>
              <w:spacing w:before="0" w:after="0"/>
              <w:jc w:val="center"/>
              <w:rPr/>
            </w:pPr>
            <w:r>
              <w:rPr>
                <w:spacing w:val="10"/>
              </w:rPr>
              <w:t>PROSPECTUS SUPPLEMENT</w:t>
            </w:r>
            <w:r>
              <w:rPr/>
              <w:t xml:space="preserve">​ </w:t>
            </w:r>
          </w:p>
        </w:tc>
        <w:tc>
          <w:tcPr>
            <w:tcW w:w="154" w:type="dxa"/>
            <w:tcBorders/>
            <w:vAlign w:val="center"/>
          </w:tcPr>
          <w:p>
            <w:pPr>
              <w:pStyle w:val="TableContents"/>
              <w:bidi w:val="0"/>
              <w:spacing w:before="0" w:after="283"/>
              <w:jc w:val="left"/>
              <w:rPr/>
            </w:pPr>
            <w:r>
              <w:rPr/>
              <w:t>​</w:t>
            </w:r>
          </w:p>
        </w:tc>
      </w:tr>
      <w:tr>
        <w:trPr/>
        <w:tc>
          <w:tcPr>
            <w:tcW w:w="697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6" w:type="dxa"/>
            <w:gridSpan w:val="4"/>
            <w:tcBorders>
              <w:bottom w:val="single" w:sz="2" w:space="0" w:color="000000"/>
            </w:tcBorders>
            <w:tcMar>
              <w:bottom w:w="50" w:type="dxa"/>
            </w:tcMar>
            <w:vAlign w:val="center"/>
          </w:tcPr>
          <w:p>
            <w:pPr>
              <w:pStyle w:val="TableContents"/>
              <w:bidi w:val="0"/>
              <w:spacing w:before="0" w:after="0"/>
              <w:jc w:val="center"/>
              <w:rPr>
                <w:spacing w:val="8"/>
              </w:rPr>
            </w:pPr>
            <w:r>
              <w:rPr>
                <w:spacing w:val="8"/>
              </w:rPr>
              <w:t xml:space="preserve">S-Page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ATP">
              <w:r>
                <w:rPr>
                  <w:rStyle w:val="InternetLink"/>
                  <w:spacing w:val="-1"/>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ATP">
              <w:r>
                <w:rPr>
                  <w:rStyle w:val="InternetLink"/>
                  <w:spacing w:val="-7"/>
                </w:rPr>
                <w:t>S-1</w:t>
              </w:r>
            </w:hyperlink>
            <w:hyperlink w:anchor="s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PRSU">
              <w:r>
                <w:rPr>
                  <w:rStyle w:val="InternetLink"/>
                  <w:spacing w:val="-1"/>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PRSU">
              <w:r>
                <w:rPr>
                  <w:rStyle w:val="InternetLink"/>
                  <w:spacing w:val="-7"/>
                </w:rPr>
                <w:t>S-2</w:t>
              </w:r>
            </w:hyperlink>
            <w:hyperlink w:anchor="s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THOF">
              <w:r>
                <w:rPr>
                  <w:rStyle w:val="InternetLink"/>
                  <w:spacing w:val="-1"/>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THOF">
              <w:r>
                <w:rPr>
                  <w:rStyle w:val="InternetLink"/>
                  <w:spacing w:val="-7"/>
                </w:rPr>
                <w:t>S-4</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RIFA">
              <w:r>
                <w:rPr>
                  <w:rStyle w:val="InternetLink"/>
                  <w:spacing w:val="-1"/>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RIFA">
              <w:r>
                <w:rPr>
                  <w:rStyle w:val="InternetLink"/>
                  <w:spacing w:val="-7"/>
                </w:rPr>
                <w:t>S-6</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CSRF">
              <w:r>
                <w:rPr>
                  <w:rStyle w:val="InternetLink"/>
                  <w:spacing w:val="-1"/>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CSRF">
              <w:r>
                <w:rPr>
                  <w:rStyle w:val="InternetLink"/>
                  <w:spacing w:val="-7"/>
                </w:rPr>
                <w:t>S-8</w:t>
              </w:r>
            </w:hyperlink>
            <w:hyperlink w:anchor="s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UOP">
              <w:r>
                <w:rPr>
                  <w:rStyle w:val="InternetLink"/>
                  <w:spacing w:val="-1"/>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UOP">
              <w:r>
                <w:rPr>
                  <w:rStyle w:val="InternetLink"/>
                  <w:spacing w:val="-7"/>
                </w:rPr>
                <w:t>S-10</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DIL">
              <w:r>
                <w:rPr>
                  <w:rStyle w:val="InternetLink"/>
                  <w:spacing w:val="-1"/>
                </w:rPr>
                <w:t xml:space="preserve">Dilution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DIL">
              <w:r>
                <w:rPr>
                  <w:rStyle w:val="InternetLink"/>
                  <w:spacing w:val="-7"/>
                </w:rPr>
                <w:t>S-11</w:t>
              </w:r>
            </w:hyperlink>
            <w:hyperlink w:anchor="sDI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POD">
              <w:r>
                <w:rPr>
                  <w:rStyle w:val="InternetLink"/>
                  <w:spacing w:val="-1"/>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POD">
              <w:r>
                <w:rPr>
                  <w:rStyle w:val="InternetLink"/>
                  <w:spacing w:val="-7"/>
                </w:rPr>
                <w:t>S-13</w:t>
              </w:r>
            </w:hyperlink>
            <w:hyperlink w:anchor="s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LEMA">
              <w:r>
                <w:rPr>
                  <w:rStyle w:val="InternetLink"/>
                  <w:spacing w:val="-1"/>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LEMA">
              <w:r>
                <w:rPr>
                  <w:rStyle w:val="InternetLink"/>
                  <w:spacing w:val="-7"/>
                </w:rPr>
                <w:t>S-14</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EXP">
              <w:r>
                <w:rPr>
                  <w:rStyle w:val="InternetLink"/>
                  <w:spacing w:val="-1"/>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EXP">
              <w:r>
                <w:rPr>
                  <w:rStyle w:val="InternetLink"/>
                  <w:spacing w:val="-7"/>
                </w:rPr>
                <w:t>S-14</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sWYCF">
              <w:r>
                <w:rPr>
                  <w:rStyle w:val="InternetLink"/>
                  <w:spacing w:val="-1"/>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WYCF">
              <w:r>
                <w:rPr>
                  <w:rStyle w:val="InternetLink"/>
                  <w:spacing w:val="-7"/>
                </w:rPr>
                <w:t>S-15</w:t>
              </w:r>
            </w:hyperlink>
            <w:hyperlink w:anchor="s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sIOCI">
              <w:r>
                <w:rPr>
                  <w:rStyle w:val="InternetLink"/>
                  <w:spacing w:val="-1"/>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IOCI">
              <w:r>
                <w:rPr>
                  <w:rStyle w:val="InternetLink"/>
                  <w:spacing w:val="-7"/>
                </w:rPr>
                <w:t>S-15</w:t>
              </w:r>
            </w:hyperlink>
            <w:hyperlink w:anchor="s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129" w:type="dxa"/>
            <w:gridSpan w:val="7"/>
            <w:tcBorders/>
            <w:shd w:fill="CCEEFF" w:val="clear"/>
            <w:vAlign w:val="center"/>
          </w:tcPr>
          <w:p>
            <w:pPr>
              <w:pStyle w:val="TableContents"/>
              <w:bidi w:val="0"/>
              <w:spacing w:before="0" w:after="0"/>
              <w:jc w:val="center"/>
              <w:rPr/>
            </w:pPr>
            <w:r>
              <w:rPr>
                <w:spacing w:val="10"/>
              </w:rPr>
              <w:t>PROSPECTUS</w:t>
            </w:r>
            <w:r>
              <w:rPr/>
              <w:t xml:space="preserve">​ </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6" w:type="dxa"/>
            <w:gridSpan w:val="4"/>
            <w:tcBorders>
              <w:bottom w:val="single" w:sz="2" w:space="0" w:color="000000"/>
            </w:tcBorders>
            <w:tcMar>
              <w:bottom w:w="45" w:type="dxa"/>
            </w:tcMar>
            <w:vAlign w:val="center"/>
          </w:tcPr>
          <w:p>
            <w:pPr>
              <w:pStyle w:val="TableContents"/>
              <w:bidi w:val="0"/>
              <w:spacing w:before="0" w:after="0"/>
              <w:jc w:val="center"/>
              <w:rPr>
                <w:spacing w:val="8"/>
              </w:rPr>
            </w:pPr>
            <w:r>
              <w:rPr>
                <w:spacing w:val="8"/>
              </w:rPr>
              <w:t xml:space="preserve">Page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ATP">
              <w:r>
                <w:rPr>
                  <w:rStyle w:val="InternetLink"/>
                  <w:spacing w:val="-1"/>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ATP">
              <w:r>
                <w:rPr>
                  <w:rStyle w:val="InternetLink"/>
                  <w:spacing w:val="-7"/>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RIFA">
              <w:r>
                <w:rPr>
                  <w:rStyle w:val="InternetLink"/>
                  <w:spacing w:val="-1"/>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RIFA">
              <w:r>
                <w:rPr>
                  <w:rStyle w:val="InternetLink"/>
                  <w:spacing w:val="-7"/>
                </w:rPr>
                <w:t>2</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CSRF">
              <w:r>
                <w:rPr>
                  <w:rStyle w:val="InternetLink"/>
                  <w:spacing w:val="-1"/>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CSRF">
              <w:r>
                <w:rPr>
                  <w:rStyle w:val="InternetLink"/>
                  <w:spacing w:val="-7"/>
                </w:rPr>
                <w:t>3</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THCO">
              <w:r>
                <w:rPr>
                  <w:rStyle w:val="InternetLink"/>
                  <w:spacing w:val="-1"/>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THCO">
              <w:r>
                <w:rPr>
                  <w:rStyle w:val="InternetLink"/>
                  <w:spacing w:val="-7"/>
                </w:rPr>
                <w:t>5</w:t>
              </w:r>
            </w:hyperlink>
            <w:hyperlink w:anchor="tTH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UOPF">
              <w:r>
                <w:rPr>
                  <w:rStyle w:val="InternetLink"/>
                  <w:spacing w:val="-1"/>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UOPF">
              <w:r>
                <w:rPr>
                  <w:rStyle w:val="InternetLink"/>
                  <w:spacing w:val="-7"/>
                </w:rPr>
                <w:t>8</w:t>
              </w:r>
            </w:hyperlink>
            <w:hyperlink w:anchor="tUOP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SWMO">
              <w:r>
                <w:rPr>
                  <w:rStyle w:val="InternetLink"/>
                  <w:spacing w:val="-1"/>
                </w:rPr>
                <w:t xml:space="preserve">Securities We May Offer and/or Selling Stockholders May Offer Or Sell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SWMO">
              <w:r>
                <w:rPr>
                  <w:rStyle w:val="InternetLink"/>
                  <w:spacing w:val="-7"/>
                </w:rPr>
                <w:t>9</w:t>
              </w:r>
            </w:hyperlink>
            <w:hyperlink w:anchor="tSWM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DOCS">
              <w:r>
                <w:rPr>
                  <w:rStyle w:val="InternetLink"/>
                  <w:spacing w:val="-1"/>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DOCS">
              <w:r>
                <w:rPr>
                  <w:rStyle w:val="InternetLink"/>
                  <w:spacing w:val="-7"/>
                </w:rPr>
                <w:t>10</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DODS">
              <w:r>
                <w:rPr>
                  <w:rStyle w:val="InternetLink"/>
                  <w:spacing w:val="-1"/>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DODS">
              <w:r>
                <w:rPr>
                  <w:rStyle w:val="InternetLink"/>
                  <w:spacing w:val="-7"/>
                </w:rPr>
                <w:t>20</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DOW">
              <w:r>
                <w:rPr>
                  <w:rStyle w:val="InternetLink"/>
                  <w:spacing w:val="-1"/>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DOW">
              <w:r>
                <w:rPr>
                  <w:rStyle w:val="InternetLink"/>
                  <w:spacing w:val="-7"/>
                </w:rPr>
                <w:t>34</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DOU">
              <w:r>
                <w:rPr>
                  <w:rStyle w:val="InternetLink"/>
                  <w:spacing w:val="-1"/>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DOU">
              <w:r>
                <w:rPr>
                  <w:rStyle w:val="InternetLink"/>
                  <w:spacing w:val="-7"/>
                </w:rPr>
                <w:t>36</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POD">
              <w:r>
                <w:rPr>
                  <w:rStyle w:val="InternetLink"/>
                  <w:spacing w:val="-1"/>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POD">
              <w:r>
                <w:rPr>
                  <w:rStyle w:val="InternetLink"/>
                  <w:spacing w:val="-7"/>
                </w:rPr>
                <w:t>39</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LEMA">
              <w:r>
                <w:rPr>
                  <w:rStyle w:val="InternetLink"/>
                  <w:spacing w:val="-1"/>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LEMA">
              <w:r>
                <w:rPr>
                  <w:rStyle w:val="InternetLink"/>
                  <w:spacing w:val="-7"/>
                </w:rPr>
                <w:t>42</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shd w:fill="CCEEFF" w:val="clear"/>
            <w:vAlign w:val="center"/>
          </w:tcPr>
          <w:p>
            <w:pPr>
              <w:pStyle w:val="TableContents"/>
              <w:bidi w:val="0"/>
              <w:spacing w:before="0" w:after="0"/>
              <w:jc w:val="left"/>
              <w:rPr/>
            </w:pPr>
            <w:hyperlink w:anchor="tEXP">
              <w:r>
                <w:rPr>
                  <w:rStyle w:val="InternetLink"/>
                  <w:spacing w:val="-1"/>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tEXP">
              <w:r>
                <w:rPr>
                  <w:rStyle w:val="InternetLink"/>
                  <w:spacing w:val="-7"/>
                </w:rPr>
                <w:t>42</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6975" w:type="dxa"/>
            <w:tcBorders/>
            <w:vAlign w:val="center"/>
          </w:tcPr>
          <w:p>
            <w:pPr>
              <w:pStyle w:val="TableContents"/>
              <w:bidi w:val="0"/>
              <w:spacing w:before="0" w:after="0"/>
              <w:jc w:val="left"/>
              <w:rPr/>
            </w:pPr>
            <w:hyperlink w:anchor="tWYCF">
              <w:r>
                <w:rPr>
                  <w:rStyle w:val="InternetLink"/>
                  <w:spacing w:val="-1"/>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tWYCF">
              <w:r>
                <w:rPr>
                  <w:rStyle w:val="InternetLink"/>
                  <w:spacing w:val="-7"/>
                </w:rPr>
                <w:t>42</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975" w:type="dxa"/>
            <w:tcBorders>
              <w:bottom w:val="single" w:sz="6" w:space="0" w:color="000000"/>
            </w:tcBorders>
            <w:shd w:fill="CCEEFF" w:val="clear"/>
            <w:tcMar>
              <w:bottom w:w="240" w:type="dxa"/>
            </w:tcMar>
            <w:vAlign w:val="center"/>
          </w:tcPr>
          <w:p>
            <w:pPr>
              <w:pStyle w:val="TableContents"/>
              <w:bidi w:val="0"/>
              <w:spacing w:before="0" w:after="0"/>
              <w:jc w:val="left"/>
              <w:rPr/>
            </w:pPr>
            <w:hyperlink w:anchor="tIBR">
              <w:r>
                <w:rPr>
                  <w:rStyle w:val="InternetLink"/>
                  <w:spacing w:val="-1"/>
                </w:rPr>
                <w:t xml:space="preserve">Incorporation by Reference </w:t>
              </w:r>
            </w:hyperlink>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40" w:type="dxa"/>
            </w:tcMar>
            <w:vAlign w:val="center"/>
          </w:tcPr>
          <w:p>
            <w:pPr>
              <w:pStyle w:val="TableContents"/>
              <w:bidi w:val="0"/>
              <w:spacing w:before="0" w:after="283"/>
              <w:jc w:val="right"/>
              <w:rPr/>
            </w:pPr>
            <w:r>
              <w:rPr/>
              <w:t>​</w:t>
            </w:r>
          </w:p>
        </w:tc>
        <w:tc>
          <w:tcPr>
            <w:tcW w:w="609" w:type="dxa"/>
            <w:tcBorders>
              <w:bottom w:val="single" w:sz="6" w:space="0" w:color="000000"/>
            </w:tcBorders>
            <w:shd w:fill="CCEEFF" w:val="clear"/>
            <w:tcMar>
              <w:bottom w:w="240" w:type="dxa"/>
            </w:tcMar>
            <w:vAlign w:val="center"/>
          </w:tcPr>
          <w:p>
            <w:pPr>
              <w:pStyle w:val="TableContents"/>
              <w:bidi w:val="0"/>
              <w:spacing w:before="0" w:after="283"/>
              <w:jc w:val="right"/>
              <w:rPr/>
            </w:pPr>
            <w:hyperlink w:anchor="tIBR">
              <w:r>
                <w:rPr>
                  <w:rStyle w:val="InternetLink"/>
                  <w:spacing w:val="-7"/>
                </w:rPr>
                <w:t>43</w:t>
              </w:r>
            </w:hyperlink>
            <w:r>
              <w:rPr/>
              <w:t xml:space="preserve"> </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50" w:after="283"/>
        <w:ind w:left="13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are responsible for the information contained and incorporated by reference in this prospectus, in any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r>
        <w:rPr>
          <w:rFonts w:ascii="Arial;Helvetica;sans-serif" w:hAnsi="Arial;Helvetica;sans-serif"/>
          <w:b w:val="false"/>
          <w:i w:val="false"/>
          <w:caps w:val="false"/>
          <w:smallCaps w:val="false"/>
          <w:color w:val="000000"/>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S-i</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s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68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ABOUT THIS PROSPECTUS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is part of an automatic shelf registration statement on Form S-3ASR that we filed with the Securities and Exchange Commission (“SEC”), as a “well-known seasoned issuer” as defined in Rule 405 under the Securities Act of 1933 (the “Securities Act”). Under the shelf registration, we and/or selling stockholders may offer shares of our common stock, from time to time in one or more offerings.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and any free writing prospectus or prospectus supplement that we have authorized for use in connection with this offering. These documents contain important information that you should consider when making your investment decision.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pacing w:val="-1"/>
          <w:sz w:val="19"/>
        </w:rPr>
        <w:t>for example, a document incorporated by reference into this prospectus</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pacing w:val="-1"/>
          <w:sz w:val="19"/>
        </w:rPr>
        <w:t>the statement in the document having the later date modifies or supersedes the earlier statement.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have not authorized anyone to provide you with information in addition to or different from that contained in this prospectus, any applicable prospectus supplement and any related free writing prospectus. We take no responsibility for, and can provide no assurances as to the reliability of, any information not contained in this prospectus, any applicable prospectus supplement or any related free writing prospectus that we may authorize to be provided to you. This prospectus is an offer to sell only the securities offered hereby, but only under circumstances and in jurisdictions where it is lawful to do so. You should assume that the information in this prospectus, the accompanying prospectus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the accompanying prospectus or any related free writing prospectus, or any sale of a security.</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and the accompanying prospectus is a part, and you may obtain copies of those documents as described below under the heading “Where You Can Find More Information”.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Unless the context otherwise indicates, references in this prospectus to “Scholar Rock,” “we,” “our,” “us” and “the Company” collectively refer to Scholar Rock Holding Corporation and its subsidiaries.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We own various U.S. federal trademark applications and unregistered trademarks, including “Scholar Rock” and our corporate logo. All other trademarks or trade names referred to in this prospectus are the property of their respective owners. Solely for convenience, the trademarks and trade names in this prospectus are referred to without the symbols </w:t>
      </w:r>
      <w:r>
        <w:rPr>
          <w:rFonts w:ascii="Arial;Helvetica;sans-serif" w:hAnsi="Arial;Helvetica;sans-serif"/>
          <w:b w:val="false"/>
          <w:i w:val="false"/>
          <w:caps w:val="false"/>
          <w:smallCaps w:val="false"/>
          <w:color w:val="000000"/>
          <w:spacing w:val="-5"/>
          <w:sz w:val="14"/>
        </w:rPr>
        <w:t>®</w:t>
      </w:r>
      <w:r>
        <w:rPr>
          <w:rFonts w:ascii="Arial;Helvetica;sans-serif" w:hAnsi="Arial;Helvetica;sans-serif"/>
          <w:b w:val="false"/>
          <w:i w:val="false"/>
          <w:caps w:val="false"/>
          <w:smallCaps w:val="false"/>
          <w:color w:val="000000"/>
          <w:spacing w:val="-1"/>
          <w:sz w:val="19"/>
        </w:rPr>
        <w:t xml:space="preserve"> and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1"/>
          <w:sz w:val="19"/>
        </w:rPr>
        <w:t>,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r>
        <w:rPr>
          <w:rFonts w:ascii="Arial;Helvetica;sans-serif" w:hAnsi="Arial;Helvetica;sans-serif"/>
          <w:b w:val="false"/>
          <w:i w:val="false"/>
          <w:caps w:val="false"/>
          <w:smallCaps w:val="false"/>
          <w:color w:val="000000"/>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350" w:after="283"/>
        <w:ind w:left="1393" w:right="0" w:hanging="0"/>
        <w:jc w:val="center"/>
        <w:rPr>
          <w:rFonts w:ascii="Arial Narrow;Helvetica;sans-serif" w:hAnsi="Arial Narrow;Helvetica;sans-serif"/>
          <w:b/>
          <w:i w:val="false"/>
          <w:caps w:val="false"/>
          <w:smallCaps w:val="false"/>
          <w:color w:val="000000"/>
          <w:sz w:val="20"/>
          <w:bdr w:val="single" w:sz="8" w:space="1" w:color="000000"/>
        </w:rPr>
      </w:pPr>
      <w:r>
        <w:rPr>
          <w:rFonts w:ascii="Arial Narrow;Helvetica;sans-serif" w:hAnsi="Arial Narrow;Helvetica;sans-serif"/>
          <w:b/>
          <w:i w:val="false"/>
          <w:caps/>
          <w:color w:val="000000"/>
          <w:spacing w:val="10"/>
          <w:sz w:val="20"/>
          <w:bdr w:val="single" w:sz="8" w:space="1" w:color="000000"/>
        </w:rPr>
        <w:t>PROSPECTUS SUMMARY</w:t>
      </w:r>
      <w:r>
        <w:rPr>
          <w:rFonts w:ascii="Arial Narrow;Helvetica;sans-serif" w:hAnsi="Arial Narrow;Helvetica;sans-serif"/>
          <w:b/>
          <w:i w:val="false"/>
          <w:caps w:val="false"/>
          <w:smallCaps w:val="false"/>
          <w:color w:val="000000"/>
          <w:spacing w:val="4"/>
          <w:sz w:val="20"/>
          <w:bdr w:val="single" w:sz="8" w:space="1" w:color="000000"/>
        </w:rPr>
        <w:t xml:space="preserve"> </w:t>
      </w:r>
    </w:p>
    <w:p>
      <w:pPr>
        <w:pStyle w:val="TextBody"/>
        <w:bidi w:val="0"/>
        <w:spacing w:lineRule="atLeast" w:line="230" w:before="360" w:after="283"/>
        <w:jc w:val="left"/>
        <w:rPr>
          <w:rFonts w:ascii="Arial;Helvetica;sans-serif" w:hAnsi="Arial;Helvetica;sans-serif"/>
          <w:b w:val="false"/>
          <w:i/>
          <w:caps w:val="false"/>
          <w:smallCaps w:val="false"/>
          <w:color w:val="000000"/>
          <w:sz w:val="19"/>
          <w:bdr w:val="single" w:sz="8" w:space="1" w:color="000000"/>
        </w:rPr>
      </w:pPr>
      <w:r>
        <w:rPr>
          <w:rFonts w:ascii="Arial;Helvetica;sans-serif" w:hAnsi="Arial;Helvetica;sans-serif"/>
          <w:b w:val="false"/>
          <w:i/>
          <w:caps w:val="false"/>
          <w:smallCaps w:val="false"/>
          <w:color w:val="000000"/>
          <w:sz w:val="19"/>
          <w:bdr w:val="single" w:sz="8" w:space="1" w:color="00000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and the accompanying prospectus, including the documents incorporated by reference, which are described under “Incorporation of certain information by reference” in this prospectus. You should also carefully consider the matters discussed in the section of this prospectus entitled “Risk factors” and under similar sections of the accompanying prospectus and other periodic reports incorporated herein and therein by reference.</w:t>
      </w:r>
      <w:r>
        <w:rPr>
          <w:rFonts w:ascii="Arial;Helvetica;sans-serif" w:hAnsi="Arial;Helvetica;sans-serif"/>
          <w:b w:val="false"/>
          <w:i/>
          <w:caps w:val="false"/>
          <w:smallCaps w:val="false"/>
          <w:color w:val="000000"/>
          <w:spacing w:val="4"/>
          <w:sz w:val="19"/>
          <w:bdr w:val="single" w:sz="8" w:space="1" w:color="000000"/>
        </w:rPr>
        <w:t xml:space="preserve"> </w:t>
      </w:r>
    </w:p>
    <w:p>
      <w:pPr>
        <w:pStyle w:val="TextBody"/>
        <w:bidi w:val="0"/>
        <w:spacing w:lineRule="atLeast" w:line="230" w:before="240" w:after="283"/>
        <w:ind w:left="1793" w:right="0" w:hanging="0"/>
        <w:jc w:val="left"/>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Company overview</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We are a global biopharmaceutical company dedicated to improving the lives of children and adults with spinal muscular atrophy (“SMA”) and additional rare, severe and debilitating neuromuscular diseases. As a leader in the biology of transforming growth factor beta (“TGFβ”) superfamily, our novel understanding of the molecular mechanisms of growth factor activation enabled the development of a proprietary platform for the discovery and development of monoclonal antibodies that locally and selectively target the precursor, or latent, forms of growth factors. Based on our innovative, proprietary, and scalable technology platform, we are building a world-leading anti-myostatin pipeline.</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1"/>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 xml:space="preserve">Our lead product candidates include apitegromab, a subcutaneous formulation of apitegromab, and SRK-439.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Apitegromab is a novel, investigational, fully human monoclonal antibody that inhibits myostatin activation by selectively binding the pro- and latent forms of myostatin in skeletal muscle. Myostatin is a catabolic agent that functions as a negative regulator of muscle mass, therefore inhibition of myostatin results in increased muscle mass and strength. Apitegromab is in development for the treatment of people with SMA and for the treatment of people with facioscapulohumeral muscular dystrophy (“FSHD”).</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In October 2024, we announced positive top-line results in SAPPHIRE, a pivotal Phase 3 clinical trial to evaluate the efficacy and safety of apitegromab in patients with non-ambulatory Type 2 and Type 3 SMA (which is estimated to represent the majority of the current prevalent SMA patient population in the U.S. and Europe). The study achieved its primary endpoint. At the March 2025 Muscular Dystrophy Association Clinical &amp; Scientific Conference, we presented additional data from secondary endpoint analyses in which apitegromab demonstrated a clinically meaningful and consistent benefit in motor function across pre-specified patient subgroups. We submitted a BLA to the FDA in January 2025 and the BLA was granted priority review designation. Priority review designation conveys that the FDA has determined that if apitegromab is approved, it could offer significant improvement in the safety or effectiveness of treatment of the serious condition of SMA. In September 2025, we received a CRL from the FDA related to observations identified during an FDA site inspection of a third-party fill-finish facility. The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we completed an in-person Type A meeting with the FDA that included participation of representatives from the third-party fill-finish facility. Also in November 2025, the third-party fill-finish facility received a Warning Letter from the FDA. We resubmitted the apitegromab BLA in March 2026 with two third-party fill-finish facilities included, which was accepted by the Agency with a September 30, 2026 Prescription Drug User Fee Act (“PDUFA”) action date. In March 2025 we submitted to the European Medicines Agency (“EMA”) and received validation of our marketing authorisation application (“MAA”) for apitegromab for the treatment of SMA. If apitegromab is approved by the FDA and/or the EC, we expect to initiate a commercial product launch in the applicable jurisdictions upon approval.</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In July 2026, our Phase 2 study evaluating apitegromab in patients with FSHD, FORGE, was initiated. We see potential for apitegromab broadly in additional rare, severe, and debilitating neuromuscular diseases where muscle atrophy is a key component of disease pathogenesis, and we are actively exploring indications beyond SMA and FSHD.</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1"/>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 xml:space="preserve">In addition to the current intravenous (“IV”) formulation, we are developing a subcutaneous (“SC”) formulation of apitegromab. A Phase 1 study in healthy volunteers has been completed and demonstrated that SC </w:t>
      </w:r>
    </w:p>
    <w:p>
      <w:pPr>
        <w:pStyle w:val="TextBody"/>
        <w:bidi w:val="0"/>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bidi w:val="0"/>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S-2</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350" w:after="283"/>
        <w:ind w:left="139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apitegromab has favorable bioavailability and a comparable pharmacodynamic profile relative to IV apitegromab. Further development activities are ongoing, including planned FDA and EMA regulatory engagements.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Our clinical-stage pipeline also includes SRK-439, a novel, investigational, subcutaneously administered fully human anti-pro/latent myostatin antibody that has high inhibitory potency while maintaining selectivity towards myostatin. SRK-439 is being developed for the treatment of patients with rare, severe, and debilitating neuromuscular diseases. A Phase 1 study of SRK-439 in healthy volunteers is currently underway, with topline data anticipated in the second half of 2026.</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Beyond these clinical-stage product candidates, our early-stage pipeline includes additional preclinical programs intended for the treatment of patients with rare, severe, and debilitating neuromuscular diseases.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As we focus our strategy on rare neuromuscular diseases, we are currently seeking partnerships for our additional programs. These programs include: SRK-181, a Phase 2-ready investigational inhibitor of latent TGFβ1 in development for the treatment of patients with solid tumors that are resistant to anti-PD-(L)1 antibody therapies; SRK-373, an investigational, highly selective inhibitor of the latent TGFβ1 isoform with selective activity in the fibrotic extracellular matrix, in preclinical development for the treatment of fibrotic diseases; and SRK-256, an investigational inhibitor of RGMc, or hemojuvelin, in preclinical development for the treatment of iron-restricted anemias. We are also seeking partners to further evaluate the potential for myostatin inhibition in combination with GLP-1 weight loss approaches following our positive Phase 2 EMBRAZE study, demonstrating proof-of-concept in the ability of apitegromab to drive statistically significant preservation of lean mass during tirzepatide-induced weight loss.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Using our innovative approach and proprietary platform, we are creating a pipeline of novel product candidates that selectively modulate growth factor activation implicated in rare, severe, and devastating neuromuscular diseases.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240" w:after="283"/>
        <w:ind w:left="1793" w:right="0" w:hanging="0"/>
        <w:jc w:val="left"/>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Company information</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We were incorporated in 2017 under the laws of the State of Delaware as the holding company for Scholar Rock, Inc. Scholar Rock, Inc. is a wholly owned subsidiary of Scholar Rock Holding Corporation. On December 22, 2017, we completed a series of transactions pursuant to which Scholar Rock Merger Sub, LLC, a wholly owned subsidiary of Scholar Rock Holding Corporation, was merged with and into Scholar Rock, LLC (the “Reorganization”). The purpose of the Reorganization was to reorganize our corporate structure so that we would continue as a corporation and so that our investors prior to the Reorganization would own our capital stock after the Reorganization rather than equity interests in a limited liability company. All of our convertible preferred stock converted into shares of common stock upon the completion of our initial public offering at the then effective conversion ratio.</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 xml:space="preserve">Our principal executive offices are located at 301 Binney Street, Cambridge, MA 02142, and our phone number is (857) 259-3860. Our website address is </w:t>
      </w:r>
      <w:r>
        <w:rPr>
          <w:rFonts w:ascii="Arial;Helvetica;sans-serif" w:hAnsi="Arial;Helvetica;sans-serif"/>
          <w:b w:val="false"/>
          <w:i/>
          <w:caps w:val="false"/>
          <w:smallCaps w:val="false"/>
          <w:color w:val="000000"/>
          <w:sz w:val="19"/>
          <w:bdr w:val="single" w:sz="8" w:space="1" w:color="000000"/>
        </w:rPr>
        <w:t>www.scholarrock.com</w:t>
      </w:r>
      <w:r>
        <w:rPr>
          <w:rFonts w:ascii="Arial;Helvetica;sans-serif" w:hAnsi="Arial;Helvetica;sans-serif"/>
          <w:b w:val="false"/>
          <w:i w:val="false"/>
          <w:caps w:val="false"/>
          <w:smallCaps w:val="false"/>
          <w:color w:val="000000"/>
          <w:spacing w:val="-1"/>
          <w:sz w:val="19"/>
          <w:bdr w:val="single" w:sz="8" w:space="1" w:color="000000"/>
        </w:rPr>
        <w:t xml:space="preserve">. The information contained on our website or social media accounts, or that can be accessed through our website or social media accounts, is not a part of this prospectus and is not incorporated by reference into this prospectus. You should not rely on any such information in deciding whether to purchase our common stock. </w:t>
      </w:r>
    </w:p>
    <w:p>
      <w:pPr>
        <w:pStyle w:val="TextBody"/>
        <w:bidi w:val="0"/>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bidi w:val="0"/>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S-3</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THO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350" w:after="283"/>
        <w:ind w:left="1393" w:right="0" w:hanging="0"/>
        <w:jc w:val="center"/>
        <w:rPr>
          <w:rFonts w:ascii="Arial Narrow;Helvetica;sans-serif" w:hAnsi="Arial Narrow;Helvetica;sans-serif"/>
          <w:b/>
          <w:i w:val="false"/>
          <w:caps w:val="false"/>
          <w:smallCaps w:val="false"/>
          <w:color w:val="000000"/>
          <w:sz w:val="20"/>
          <w:bdr w:val="single" w:sz="8" w:space="1" w:color="000000"/>
        </w:rPr>
      </w:pPr>
      <w:r>
        <w:rPr>
          <w:rFonts w:ascii="Arial Narrow;Helvetica;sans-serif" w:hAnsi="Arial Narrow;Helvetica;sans-serif"/>
          <w:b/>
          <w:i w:val="false"/>
          <w:caps/>
          <w:color w:val="000000"/>
          <w:spacing w:val="10"/>
          <w:sz w:val="20"/>
          <w:bdr w:val="single" w:sz="8" w:space="1" w:color="000000"/>
        </w:rPr>
        <w:t>THE OFFERING</w:t>
      </w:r>
      <w:r>
        <w:rPr>
          <w:rFonts w:ascii="Arial Narrow;Helvetica;sans-serif" w:hAnsi="Arial Narrow;Helvetica;sans-serif"/>
          <w:b/>
          <w:i w:val="false"/>
          <w:caps w:val="false"/>
          <w:smallCaps w:val="false"/>
          <w:color w:val="000000"/>
          <w:spacing w:val="4"/>
          <w:sz w:val="20"/>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Common stock offered by us</w:t>
      </w:r>
      <w:r>
        <w:rPr>
          <w:rFonts w:ascii="Arial Narrow;Helvetica;sans-serif" w:hAnsi="Arial Narrow;Helvetica;sans-serif"/>
          <w:b/>
          <w:i w:val="false"/>
          <w:caps w:val="false"/>
          <w:smallCaps w:val="false"/>
          <w:color w:val="000000"/>
          <w:spacing w:val="-7"/>
          <w:sz w:val="19"/>
          <w:bdr w:val="single" w:sz="8" w:space="1" w:color="000000"/>
        </w:rPr>
        <w:t xml:space="preserve"> </w:t>
      </w:r>
    </w:p>
    <w:p>
      <w:pPr>
        <w:pStyle w:val="TextBody"/>
        <w:bidi w:val="0"/>
        <w:spacing w:lineRule="atLeast" w:line="240" w:before="0" w:after="283"/>
        <w:ind w:left="499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Shares of our common stock having an aggregate offering price of up to $200,000,000.</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Common stock to be outstanding immediately after this offering</w:t>
      </w:r>
      <w:r>
        <w:rPr>
          <w:rFonts w:ascii="Arial Narrow;Helvetica;sans-serif" w:hAnsi="Arial Narrow;Helvetica;sans-serif"/>
          <w:b/>
          <w:i w:val="false"/>
          <w:caps w:val="false"/>
          <w:smallCaps w:val="false"/>
          <w:color w:val="000000"/>
          <w:spacing w:val="-7"/>
          <w:sz w:val="19"/>
          <w:bdr w:val="single" w:sz="8" w:space="1" w:color="000000"/>
        </w:rPr>
        <w:t xml:space="preserve"> </w:t>
      </w:r>
    </w:p>
    <w:p>
      <w:pPr>
        <w:pStyle w:val="TextBody"/>
        <w:bidi w:val="0"/>
        <w:spacing w:lineRule="atLeast" w:line="240" w:before="0" w:after="283"/>
        <w:ind w:left="499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 xml:space="preserve">Up to </w:t>
      </w:r>
      <w:r>
        <w:rPr>
          <w:rFonts w:ascii="Arial;Helvetica;sans-serif" w:hAnsi="Arial;Helvetica;sans-serif"/>
          <w:b w:val="false"/>
          <w:i w:val="false"/>
          <w:caps w:val="false"/>
          <w:smallCaps w:val="false"/>
          <w:color w:val="000000"/>
          <w:spacing w:val="-7"/>
          <w:sz w:val="19"/>
          <w:bdr w:val="single" w:sz="8" w:space="1" w:color="000000"/>
        </w:rPr>
        <w:t>125,962,446</w:t>
      </w:r>
      <w:r>
        <w:rPr>
          <w:rFonts w:ascii="Arial;Helvetica;sans-serif" w:hAnsi="Arial;Helvetica;sans-serif"/>
          <w:b w:val="false"/>
          <w:i w:val="false"/>
          <w:caps w:val="false"/>
          <w:smallCaps w:val="false"/>
          <w:color w:val="000000"/>
          <w:spacing w:val="-1"/>
          <w:sz w:val="19"/>
          <w:bdr w:val="single" w:sz="8" w:space="1" w:color="000000"/>
        </w:rPr>
        <w:t xml:space="preserve"> shares (as more fully described in the notes following this table), assuming sales of </w:t>
      </w:r>
      <w:r>
        <w:rPr>
          <w:rFonts w:ascii="Arial;Helvetica;sans-serif" w:hAnsi="Arial;Helvetica;sans-serif"/>
          <w:b w:val="false"/>
          <w:i w:val="false"/>
          <w:caps w:val="false"/>
          <w:smallCaps w:val="false"/>
          <w:color w:val="000000"/>
          <w:spacing w:val="-7"/>
          <w:sz w:val="19"/>
          <w:bdr w:val="single" w:sz="8" w:space="1" w:color="000000"/>
        </w:rPr>
        <w:t>4,362,050</w:t>
      </w:r>
      <w:r>
        <w:rPr>
          <w:rFonts w:ascii="Arial;Helvetica;sans-serif" w:hAnsi="Arial;Helvetica;sans-serif"/>
          <w:b w:val="false"/>
          <w:i w:val="false"/>
          <w:caps w:val="false"/>
          <w:smallCaps w:val="false"/>
          <w:color w:val="000000"/>
          <w:spacing w:val="-1"/>
          <w:sz w:val="19"/>
          <w:bdr w:val="single" w:sz="8" w:space="1" w:color="000000"/>
        </w:rPr>
        <w:t xml:space="preserve"> shares of our common stock in this offering at an offering price of $</w:t>
      </w:r>
      <w:r>
        <w:rPr>
          <w:rFonts w:ascii="Arial;Helvetica;sans-serif" w:hAnsi="Arial;Helvetica;sans-serif"/>
          <w:b w:val="false"/>
          <w:i w:val="false"/>
          <w:caps w:val="false"/>
          <w:smallCaps w:val="false"/>
          <w:color w:val="000000"/>
          <w:spacing w:val="-7"/>
          <w:sz w:val="19"/>
          <w:bdr w:val="single" w:sz="8" w:space="1" w:color="000000"/>
        </w:rPr>
        <w:t>45.85</w:t>
      </w:r>
      <w:r>
        <w:rPr>
          <w:rFonts w:ascii="Arial;Helvetica;sans-serif" w:hAnsi="Arial;Helvetica;sans-serif"/>
          <w:b w:val="false"/>
          <w:i w:val="false"/>
          <w:caps w:val="false"/>
          <w:smallCaps w:val="false"/>
          <w:color w:val="000000"/>
          <w:spacing w:val="-1"/>
          <w:sz w:val="19"/>
          <w:bdr w:val="single" w:sz="8" w:space="1" w:color="000000"/>
        </w:rPr>
        <w:t xml:space="preserve"> per share, which was the last reported sale price of our common stock on The Nasdaq Global Select Market on August 3, 2026. The actual number of shares issued will vary depending on the sales price under this offering.</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Plan of Distribution</w:t>
      </w:r>
      <w:r>
        <w:rPr>
          <w:rFonts w:ascii="Arial Narrow;Helvetica;sans-serif" w:hAnsi="Arial Narrow;Helvetica;sans-serif"/>
          <w:b/>
          <w:i w:val="false"/>
          <w:caps w:val="false"/>
          <w:smallCaps w:val="false"/>
          <w:color w:val="000000"/>
          <w:spacing w:val="-7"/>
          <w:sz w:val="19"/>
          <w:bdr w:val="single" w:sz="8" w:space="1" w:color="000000"/>
        </w:rPr>
        <w:t xml:space="preserve"> </w:t>
      </w:r>
    </w:p>
    <w:p>
      <w:pPr>
        <w:pStyle w:val="TextBody"/>
        <w:bidi w:val="0"/>
        <w:spacing w:lineRule="atLeast" w:line="240" w:before="0" w:after="283"/>
        <w:ind w:left="4993" w:right="0" w:hanging="0"/>
        <w:jc w:val="left"/>
        <w:rPr/>
      </w:pPr>
      <w:r>
        <w:rPr>
          <w:caps w:val="false"/>
          <w:smallCaps w:val="false"/>
          <w:color w:val="000000"/>
          <w:spacing w:val="-1"/>
          <w:bdr w:val="single" w:sz="8" w:space="1" w:color="000000"/>
        </w:rPr>
        <w:t>“</w:t>
      </w:r>
      <w:r>
        <w:rPr>
          <w:rFonts w:ascii="Arial;Helvetica;sans-serif" w:hAnsi="Arial;Helvetica;sans-serif"/>
          <w:b w:val="false"/>
          <w:i w:val="false"/>
          <w:caps w:val="false"/>
          <w:smallCaps w:val="false"/>
          <w:color w:val="000000"/>
          <w:spacing w:val="-1"/>
          <w:sz w:val="19"/>
          <w:bdr w:val="single" w:sz="8" w:space="1" w:color="000000"/>
        </w:rPr>
        <w:t xml:space="preserve">At the market offering” that may be made from time to time through our sales agent, Jefferies. See “Plan of Distribution” on page </w:t>
      </w:r>
      <w:hyperlink w:anchor="sPOD">
        <w:r>
          <w:rPr>
            <w:rStyle w:val="InternetLink"/>
            <w:rFonts w:ascii="Arial;Helvetica;sans-serif" w:hAnsi="Arial;Helvetica;sans-serif"/>
            <w:b w:val="false"/>
            <w:i w:val="false"/>
            <w:caps w:val="false"/>
            <w:smallCaps w:val="false"/>
            <w:color w:val="000000"/>
            <w:spacing w:val="-7"/>
            <w:sz w:val="19"/>
            <w:bdr w:val="single" w:sz="8" w:space="1" w:color="000000"/>
          </w:rPr>
          <w:t>S-13</w:t>
        </w:r>
      </w:hyperlink>
      <w:r>
        <w:rPr>
          <w:rFonts w:ascii="Arial;Helvetica;sans-serif" w:hAnsi="Arial;Helvetica;sans-serif"/>
          <w:b w:val="false"/>
          <w:i w:val="false"/>
          <w:caps w:val="false"/>
          <w:smallCaps w:val="false"/>
          <w:color w:val="000000"/>
          <w:spacing w:val="-1"/>
          <w:sz w:val="19"/>
          <w:bdr w:val="single" w:sz="8" w:space="1" w:color="000000"/>
        </w:rPr>
        <w:t xml:space="preserve"> of this prospectus.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Use of Proceeds</w:t>
      </w:r>
      <w:r>
        <w:rPr>
          <w:rFonts w:ascii="Arial Narrow;Helvetica;sans-serif" w:hAnsi="Arial Narrow;Helvetica;sans-serif"/>
          <w:b/>
          <w:i w:val="false"/>
          <w:caps w:val="false"/>
          <w:smallCaps w:val="false"/>
          <w:color w:val="000000"/>
          <w:spacing w:val="-7"/>
          <w:sz w:val="19"/>
          <w:bdr w:val="single" w:sz="8" w:space="1" w:color="000000"/>
        </w:rPr>
        <w:t xml:space="preserve"> </w:t>
      </w:r>
    </w:p>
    <w:p>
      <w:pPr>
        <w:pStyle w:val="TextBody"/>
        <w:bidi w:val="0"/>
        <w:spacing w:lineRule="atLeast" w:line="240" w:before="0" w:after="283"/>
        <w:ind w:left="4993" w:right="0" w:hanging="0"/>
        <w:jc w:val="left"/>
        <w:rPr/>
      </w:pPr>
      <w:r>
        <w:rPr>
          <w:rFonts w:ascii="Arial;Helvetica;sans-serif" w:hAnsi="Arial;Helvetica;sans-serif"/>
          <w:b w:val="false"/>
          <w:i w:val="false"/>
          <w:caps w:val="false"/>
          <w:smallCaps w:val="false"/>
          <w:color w:val="000000"/>
          <w:spacing w:val="-1"/>
          <w:sz w:val="19"/>
          <w:bdr w:val="single" w:sz="8" w:space="1" w:color="000000"/>
        </w:rPr>
        <w:t xml:space="preserve">We intend to use the net proceeds we receive, together with our existing cash, cash equivalents and investments, to support commercialization of apitegromab, including further buildout of our commercial infrastructure and supply chain, advance our ongoing and future clinical programs, to further develop our technology platform to continue to advance our clinical and preclinical pipeline, and for working capital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 See “Use of Proceeds” on page </w:t>
      </w:r>
      <w:hyperlink w:anchor="sUOP">
        <w:r>
          <w:rPr>
            <w:rStyle w:val="InternetLink"/>
            <w:rFonts w:ascii="Arial;Helvetica;sans-serif" w:hAnsi="Arial;Helvetica;sans-serif"/>
            <w:b w:val="false"/>
            <w:i w:val="false"/>
            <w:caps w:val="false"/>
            <w:smallCaps w:val="false"/>
            <w:color w:val="000000"/>
            <w:spacing w:val="-7"/>
            <w:sz w:val="19"/>
            <w:bdr w:val="single" w:sz="8" w:space="1" w:color="000000"/>
          </w:rPr>
          <w:t>S-10</w:t>
        </w:r>
      </w:hyperlink>
      <w:r>
        <w:rPr>
          <w:rFonts w:ascii="Arial;Helvetica;sans-serif" w:hAnsi="Arial;Helvetica;sans-serif"/>
          <w:b w:val="false"/>
          <w:i w:val="false"/>
          <w:caps w:val="false"/>
          <w:smallCaps w:val="false"/>
          <w:color w:val="000000"/>
          <w:spacing w:val="-1"/>
          <w:sz w:val="19"/>
          <w:bdr w:val="single" w:sz="8" w:space="1" w:color="000000"/>
        </w:rPr>
        <w:t xml:space="preserve"> of this prospectus.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Risk Factors</w:t>
      </w:r>
      <w:r>
        <w:rPr>
          <w:rFonts w:ascii="Arial Narrow;Helvetica;sans-serif" w:hAnsi="Arial Narrow;Helvetica;sans-serif"/>
          <w:b/>
          <w:i w:val="false"/>
          <w:caps w:val="false"/>
          <w:smallCaps w:val="false"/>
          <w:color w:val="000000"/>
          <w:spacing w:val="-7"/>
          <w:sz w:val="19"/>
          <w:bdr w:val="single" w:sz="8" w:space="1" w:color="000000"/>
        </w:rPr>
        <w:t xml:space="preserve"> </w:t>
      </w:r>
    </w:p>
    <w:p>
      <w:pPr>
        <w:pStyle w:val="TextBody"/>
        <w:bidi w:val="0"/>
        <w:spacing w:lineRule="atLeast" w:line="240" w:before="0" w:after="283"/>
        <w:ind w:left="4993" w:right="0" w:hanging="0"/>
        <w:jc w:val="left"/>
        <w:rPr/>
      </w:pPr>
      <w:r>
        <w:rPr>
          <w:rFonts w:ascii="Arial;Helvetica;sans-serif" w:hAnsi="Arial;Helvetica;sans-serif"/>
          <w:b w:val="false"/>
          <w:i w:val="false"/>
          <w:caps w:val="false"/>
          <w:smallCaps w:val="false"/>
          <w:color w:val="000000"/>
          <w:spacing w:val="-1"/>
          <w:sz w:val="19"/>
          <w:bdr w:val="single" w:sz="8" w:space="1" w:color="000000"/>
        </w:rPr>
        <w:t xml:space="preserve">Investing in our common stock involves significant risks. See “Risk Factors” on page </w:t>
      </w:r>
      <w:hyperlink w:anchor="sRIFA">
        <w:r>
          <w:rPr>
            <w:rStyle w:val="InternetLink"/>
            <w:rFonts w:ascii="Arial;Helvetica;sans-serif" w:hAnsi="Arial;Helvetica;sans-serif"/>
            <w:b w:val="false"/>
            <w:i w:val="false"/>
            <w:caps w:val="false"/>
            <w:smallCaps w:val="false"/>
            <w:color w:val="000000"/>
            <w:spacing w:val="-7"/>
            <w:sz w:val="19"/>
            <w:bdr w:val="single" w:sz="8" w:space="1" w:color="000000"/>
          </w:rPr>
          <w:t>S-6</w:t>
        </w:r>
      </w:hyperlink>
      <w:r>
        <w:rPr>
          <w:rFonts w:ascii="Arial;Helvetica;sans-serif" w:hAnsi="Arial;Helvetica;sans-serif"/>
          <w:b w:val="false"/>
          <w:i w:val="false"/>
          <w:caps w:val="false"/>
          <w:smallCaps w:val="false"/>
          <w:color w:val="000000"/>
          <w:spacing w:val="-1"/>
          <w:sz w:val="19"/>
          <w:bdr w:val="single" w:sz="8" w:space="1" w:color="000000"/>
        </w:rPr>
        <w:t xml:space="preserve"> of this prospectus and under similar headings in other documents incorporated by reference into this prospectus.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30" w:before="360" w:after="283"/>
        <w:ind w:left="1593" w:right="0" w:hanging="200"/>
        <w:jc w:val="left"/>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 xml:space="preserve">The Nasdaq Global Select Market </w:t>
      </w:r>
      <w:r>
        <w:rPr>
          <w:rFonts w:ascii="Arial Narrow;Helvetica;sans-serif" w:hAnsi="Arial Narrow;Helvetica;sans-serif"/>
          <w:b/>
          <w:i w:val="false"/>
          <w:caps w:val="false"/>
          <w:smallCaps w:val="false"/>
          <w:color w:val="000000"/>
          <w:sz w:val="19"/>
          <w:bdr w:val="single" w:sz="8" w:space="1" w:color="000000"/>
        </w:rPr>
        <w:br/>
      </w:r>
      <w:r>
        <w:rPr>
          <w:rFonts w:ascii="Arial Narrow;Helvetica;sans-serif" w:hAnsi="Arial Narrow;Helvetica;sans-serif"/>
          <w:b/>
          <w:i w:val="false"/>
          <w:caps w:val="false"/>
          <w:smallCaps w:val="false"/>
          <w:color w:val="000000"/>
          <w:spacing w:val="10"/>
          <w:sz w:val="19"/>
          <w:bdr w:val="single" w:sz="8" w:space="1" w:color="000000"/>
        </w:rPr>
        <w:t>symbol</w:t>
      </w:r>
      <w:r>
        <w:rPr>
          <w:rFonts w:ascii="Arial Narrow;Helvetica;sans-serif" w:hAnsi="Arial Narrow;Helvetica;sans-serif"/>
          <w:b/>
          <w:i w:val="false"/>
          <w:caps w:val="false"/>
          <w:smallCaps w:val="false"/>
          <w:color w:val="000000"/>
          <w:sz w:val="19"/>
          <w:bdr w:val="single" w:sz="8" w:space="1" w:color="000000"/>
        </w:rPr>
        <w:t xml:space="preserve">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7"/>
          <w:bdr w:val="single" w:sz="8" w:space="1" w:color="000000"/>
        </w:rPr>
        <w:t>“</w:t>
      </w:r>
      <w:r>
        <w:rPr>
          <w:rFonts w:ascii="Arial;Helvetica;sans-serif" w:hAnsi="Arial;Helvetica;sans-serif"/>
          <w:b w:val="false"/>
          <w:i w:val="false"/>
          <w:caps w:val="false"/>
          <w:smallCaps w:val="false"/>
          <w:color w:val="000000"/>
          <w:spacing w:val="-7"/>
          <w:sz w:val="19"/>
          <w:bdr w:val="single" w:sz="8" w:space="1" w:color="000000"/>
        </w:rPr>
        <w:t>SRRK”</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The number of shares of our common stock that will be outstanding immediately after this offering as shown above is based on 121,600,396 shares outstanding as of June 30, 2026. The number of shares outstanding as of June 30, 2026 as used throughout this prospectus, unless otherwise indicated, excludes: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10,558,065 pre-funded warrants to purchase shares of common stock with an exercise price of $0.0001 per share;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2">
                <wp:simplePos x="0" y="0"/>
                <wp:positionH relativeFrom="column">
                  <wp:align>left</wp:align>
                </wp:positionH>
                <wp:positionV relativeFrom="line">
                  <wp:align>top</wp:align>
                </wp:positionV>
                <wp:extent cx="1524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166,909 shares of common stock issuable upon the exercise of stock options outstanding under our 2017 Stock Option and Incentive Plan at a weighted-average exercise price of $6.17 per share;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5">
                <wp:simplePos x="0" y="0"/>
                <wp:positionH relativeFrom="column">
                  <wp:align>left</wp:align>
                </wp:positionH>
                <wp:positionV relativeFrom="line">
                  <wp:align>top</wp:align>
                </wp:positionV>
                <wp:extent cx="1524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4,312,627 shares of common stock issuable upon the exercise of stock options outstanding under our 2018 Stock Option and Incentive Plan at a weighted-average exercise price of $23.03 per share;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6">
                <wp:simplePos x="0" y="0"/>
                <wp:positionH relativeFrom="column">
                  <wp:align>left</wp:align>
                </wp:positionH>
                <wp:positionV relativeFrom="line">
                  <wp:align>top</wp:align>
                </wp:positionV>
                <wp:extent cx="1524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bidi w:val="0"/>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S-4</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350" w:after="283"/>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2,248,020 shares of common stock issuable upon the vesting and settlement of restricted stock units issued under our 2018 Stock Option and Incentive Plan;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0" distB="0" distL="254000" distR="0" simplePos="0" locked="0" layoutInCell="1" allowOverlap="1" relativeHeight="7">
                <wp:simplePos x="0" y="0"/>
                <wp:positionH relativeFrom="column">
                  <wp:align>left</wp:align>
                </wp:positionH>
                <wp:positionV relativeFrom="line">
                  <wp:posOffset>635</wp:posOffset>
                </wp:positionV>
                <wp:extent cx="1524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1,090,809 shares of common stock issuable upon the vesting and settlement of performance stock units issued under our 2018 Stock Option and Incentive Plan;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8">
                <wp:simplePos x="0" y="0"/>
                <wp:positionH relativeFrom="column">
                  <wp:align>left</wp:align>
                </wp:positionH>
                <wp:positionV relativeFrom="line">
                  <wp:align>top</wp:align>
                </wp:positionV>
                <wp:extent cx="1524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6,693,476 shares of common stock reserved for future issuance under our 2018 Stock Option and Incentive Plan;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9">
                <wp:simplePos x="0" y="0"/>
                <wp:positionH relativeFrom="column">
                  <wp:align>left</wp:align>
                </wp:positionH>
                <wp:positionV relativeFrom="line">
                  <wp:align>top</wp:align>
                </wp:positionV>
                <wp:extent cx="1524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2,903,919 shares of common stock available for future issuance under our 2018 Employee Stock Purchase Plan;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10">
                <wp:simplePos x="0" y="0"/>
                <wp:positionH relativeFrom="column">
                  <wp:align>left</wp:align>
                </wp:positionH>
                <wp:positionV relativeFrom="line">
                  <wp:align>top</wp:align>
                </wp:positionV>
                <wp:extent cx="1524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2,206,847 shares of common stock issuable upon the exercise of stock options outstanding under our 2022 Inducement Equity Plan at a weighted-average exercise price of $28.17 per share;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11">
                <wp:simplePos x="0" y="0"/>
                <wp:positionH relativeFrom="column">
                  <wp:align>left</wp:align>
                </wp:positionH>
                <wp:positionV relativeFrom="line">
                  <wp:align>top</wp:align>
                </wp:positionV>
                <wp:extent cx="1524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1,350,726 shares of common stock issuable upon the vesting and settlement of restricted stock units issued under our 2022 Inducement Equity Plan;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12">
                <wp:simplePos x="0" y="0"/>
                <wp:positionH relativeFrom="column">
                  <wp:align>left</wp:align>
                </wp:positionH>
                <wp:positionV relativeFrom="line">
                  <wp:align>top</wp:align>
                </wp:positionV>
                <wp:extent cx="1524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360,000 shares of common stock issuable upon the vesting and settlement of performance stock units issued under our 2022 Inducement Equity Plan; and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13">
                <wp:simplePos x="0" y="0"/>
                <wp:positionH relativeFrom="column">
                  <wp:align>left</wp:align>
                </wp:positionH>
                <wp:positionV relativeFrom="line">
                  <wp:align>top</wp:align>
                </wp:positionV>
                <wp:extent cx="1524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pacing w:val="-1"/>
          <w:sz w:val="19"/>
          <w:bdr w:val="single" w:sz="8" w:space="1" w:color="000000"/>
        </w:rPr>
        <w:t>2,317,296 shares of common stock available for future issuance under our 2022 Inducement Equity Plan.</w:t>
      </w:r>
      <w:r>
        <w:rPr>
          <w:rFonts w:ascii="Arial;Helvetica;sans-serif" w:hAnsi="Arial;Helvetica;sans-serif"/>
          <w:b w:val="false"/>
          <w:i w:val="false"/>
          <w:caps w:val="false"/>
          <w:smallCaps w:val="false"/>
          <w:color w:val="000000"/>
          <w:sz w:val="19"/>
          <w:bdr w:val="single" w:sz="8" w:space="1" w:color="000000"/>
        </w:rPr>
        <w:t xml:space="preserve"> </w:t>
      </w:r>
      <w:r>
        <mc:AlternateContent>
          <mc:Choice Requires="wps">
            <w:drawing>
              <wp:anchor behindDoc="0" distT="50800" distB="0" distL="254000" distR="0" simplePos="0" locked="0" layoutInCell="1" allowOverlap="1" relativeHeight="14">
                <wp:simplePos x="0" y="0"/>
                <wp:positionH relativeFrom="column">
                  <wp:align>left</wp:align>
                </wp:positionH>
                <wp:positionV relativeFrom="line">
                  <wp:align>top</wp:align>
                </wp:positionV>
                <wp:extent cx="1524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bidi w:val="0"/>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S-5</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RISK FACTORS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30" w:before="360" w:after="283"/>
        <w:jc w:val="left"/>
        <w:rPr/>
      </w:pPr>
      <w:r>
        <w:rPr>
          <w:rFonts w:ascii="Arial;Helvetica;sans-serif" w:hAnsi="Arial;Helvetica;sans-serif"/>
          <w:b w:val="false"/>
          <w:i/>
          <w:caps w:val="false"/>
          <w:smallCaps w:val="false"/>
          <w:color w:val="000000"/>
          <w:sz w:val="19"/>
        </w:rPr>
        <w:t xml:space="preserve">Investing in our securities involves a high degree of risk. You should carefully consider the risks and uncertainties described below and in the documents incorporated by reference in this prospectus, as well as other information we include or incorporate by reference into this prospectus, before making an investment decision. Our business, financial condition and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w:t>
      </w:r>
      <w:hyperlink r:id="rId3">
        <w:r>
          <w:rPr>
            <w:rStyle w:val="InternetLink"/>
          </w:rPr>
          <w:t>our Annual Report on Form 10-K for the fiscal year ended December 31, 2025</w:t>
        </w:r>
      </w:hyperlink>
      <w:r>
        <w:rPr>
          <w:rFonts w:ascii="Arial;Helvetica;sans-serif" w:hAnsi="Arial;Helvetica;sans-serif"/>
          <w:b w:val="false"/>
          <w:i/>
          <w:caps w:val="false"/>
          <w:smallCaps w:val="false"/>
          <w:color w:val="000000"/>
          <w:sz w:val="19"/>
        </w:rPr>
        <w:t>, which is on file with the SEC and is incorporated herein by reference, and our subsequent Quarterly Reports on Form 10-Q or Current Reports on Form 8-K and other reports and documents that are incorporated by reference into this prospectus and other documents we file with the SEC that are deemed incorporated by reference into this prospectus.</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30" w:before="240" w:after="283"/>
        <w:jc w:val="left"/>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Risks related to this offering</w:t>
      </w:r>
      <w:r>
        <w:rPr>
          <w:rFonts w:ascii="Arial Narrow;Helvetica;sans-serif" w:hAnsi="Arial Narrow;Helvetica;sans-serif"/>
          <w:b/>
          <w:i/>
          <w:caps w:val="false"/>
          <w:smallCaps w:val="false"/>
          <w:color w:val="000000"/>
          <w:spacing w:val="4"/>
          <w:sz w:val="19"/>
        </w:rPr>
        <w:t xml:space="preserve"> </w:t>
      </w:r>
    </w:p>
    <w:p>
      <w:pPr>
        <w:pStyle w:val="TextBody"/>
        <w:bidi w:val="0"/>
        <w:spacing w:lineRule="atLeast" w:line="230" w:before="14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You will experience immediate and substantial dilution.</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The offering price per share in this offering will be substantially higher than the net tangible book value per share of our common stock outstanding prior to this offering. Based on an estimated public offering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 and a net tangible book value of $253.8 million, or $2.09 per share of common stock, as of June 30, 2026, if you purchase securities in this offering, you will suffer immediate and substantial dilution of $</w:t>
      </w:r>
      <w:r>
        <w:rPr>
          <w:rFonts w:ascii="Arial;Helvetica;sans-serif" w:hAnsi="Arial;Helvetica;sans-serif"/>
          <w:b w:val="false"/>
          <w:i w:val="false"/>
          <w:caps w:val="false"/>
          <w:smallCaps w:val="false"/>
          <w:color w:val="000000"/>
          <w:spacing w:val="-7"/>
          <w:sz w:val="19"/>
        </w:rPr>
        <w:t>42.30</w:t>
      </w:r>
      <w:r>
        <w:rPr>
          <w:rFonts w:ascii="Arial;Helvetica;sans-serif" w:hAnsi="Arial;Helvetica;sans-serif"/>
          <w:b w:val="false"/>
          <w:i w:val="false"/>
          <w:caps w:val="false"/>
          <w:smallCaps w:val="false"/>
          <w:color w:val="000000"/>
          <w:spacing w:val="-1"/>
          <w:sz w:val="19"/>
        </w:rPr>
        <w:t xml:space="preserve"> per share in the net tangible book value of the securities you purchase representing the difference between our as adjusted net tangible book value per share after giving effect to this offering and the public offering price per share of common stock. The exercise of outstanding stock options and warrants will result in further dilution of your investment. See the section titled “Dilution” below for a more detailed illustration of the dilution you would incur if you participate in this offering.</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2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We have broad discretion in the use of our existing cash, cash equivalents and marketable securities and the net proceeds from this offering and may not use them effectively.</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management will have broad discretion in the application of our existing cash, cash equivalents and marketable securities and the net proceeds from this offering, including for any of the purposes described in the section titled “Use of proceeds,” and you will not have the opportunity as part of your investment decision to assess whether such proceeds are being used appropriately. Because of the number and variability of factors that will determine our use of our existing cash and cash equivalents and the net proceeds from this offering, their ultimate use may vary substantially from their currently intended use. Our management might not apply our existing cash and cash equivalents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You may experience future dilution as a result of future equity offerings.</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lineRule="atLeast" w:line="22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Sales of a substantial number of shares of our common stock in the public market after this offering could cause our stock price to fall.</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Sales of a substantial number of shares of our common stock in the public market or the perception that these sales might occur could depress the market price of our common stock and could impair our ability to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S-6</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120" w:after="1190"/>
        <w:ind w:left="13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June 30, 2026, 121,600,396 shares of our common stock were outstanding. The sale, or the availability for sale, of a large number of shares of our common stock in the public market could cause the price of our common stock to decline.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The common stock offered hereby will be sold in “at the market” offerings, and investors who buy shares at different times will likely pay different prices.</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 xml:space="preserve">The actual number of shares we will issue under the Sales Agreement, at any one time or in total, is uncertain.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Subject to certain limitations in the Sales Agreement and compliance with applicable law, we have the discretion to deliver placement notices to Jefferies, at any time throughout the term of the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The price of our stock is volatile, and you could lose all or part of your investment.</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Similar to the trading prices of the common stock of other biopharmaceutical companies, the trading price of our common stock is subject to wide fluctuations in response to various factors, some of which are beyond our control, including limited trading volume. In addition to the factors discussed in this “Risk Factors” section and elsewhere in this prospectus, these factors include: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announcements of significant acquisitions, strategic collaborations or partnerships, joint ventures or capital commitments by us, our collaborators or our competitors;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
                <wp:simplePos x="0" y="0"/>
                <wp:positionH relativeFrom="column">
                  <wp:align>left</wp:align>
                </wp:positionH>
                <wp:positionV relativeFrom="line">
                  <wp:align>top</wp:align>
                </wp:positionV>
                <wp:extent cx="1524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actual or anticipated variations in quarterly operating results or our cash position;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6">
                <wp:simplePos x="0" y="0"/>
                <wp:positionH relativeFrom="column">
                  <wp:align>left</wp:align>
                </wp:positionH>
                <wp:positionV relativeFrom="line">
                  <wp:align>top</wp:align>
                </wp:positionV>
                <wp:extent cx="1524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failure to meet the estimates and projections of the investment community or that we may otherwise provide to the public;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
                <wp:simplePos x="0" y="0"/>
                <wp:positionH relativeFrom="column">
                  <wp:align>left</wp:align>
                </wp:positionH>
                <wp:positionV relativeFrom="line">
                  <wp:align>top</wp:align>
                </wp:positionV>
                <wp:extent cx="1524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changes in accounting practices;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
                <wp:simplePos x="0" y="0"/>
                <wp:positionH relativeFrom="column">
                  <wp:align>left</wp:align>
                </wp:positionH>
                <wp:positionV relativeFrom="line">
                  <wp:align>top</wp:align>
                </wp:positionV>
                <wp:extent cx="1524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significant lawsuits, including patent or stockholder litigation.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9">
                <wp:simplePos x="0" y="0"/>
                <wp:positionH relativeFrom="column">
                  <wp:align>left</wp:align>
                </wp:positionH>
                <wp:positionV relativeFrom="line">
                  <wp:align>top</wp:align>
                </wp:positionV>
                <wp:extent cx="1524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We do not intend to pay dividends on our common stock so any returns will be limited to the value of our stock.</w:t>
      </w:r>
      <w:r>
        <w:rPr>
          <w:rFonts w:ascii="Arial;Helvetica;sans-serif" w:hAnsi="Arial;Helvetica;sans-serif"/>
          <w:b w:val="false"/>
          <w:i/>
          <w:caps w:val="false"/>
          <w:smallCaps w:val="false"/>
          <w:color w:val="000000"/>
          <w:spacing w:val="4"/>
          <w:sz w:val="19"/>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S-7</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CS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CAUTIONARY STATEMENT REGARDING FORWARD-LOOKING STATEMENTS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including the documents that we incorporate by reference herein and therein,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 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the accompanying prospectus, and in particular those factors referenced in the section “Risk factors.”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timing, scope, or likelihood of our ability to obtain and maintain regulatory approval from the U.S. Food and Drug Administration (“FDA”), the European Commission (“EC”) and other regulatory authorities for apitegromab, and any related restrictions, limitations or warnings in the label of any approval for apitegromab;</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0">
                <wp:simplePos x="0" y="0"/>
                <wp:positionH relativeFrom="column">
                  <wp:align>left</wp:align>
                </wp:positionH>
                <wp:positionV relativeFrom="line">
                  <wp:align>top</wp:align>
                </wp:positionV>
                <wp:extent cx="1524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FDA’s review of the two fill-finish facilities included in our Biologics License Application (“BLA”);</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1">
                <wp:simplePos x="0" y="0"/>
                <wp:positionH relativeFrom="column">
                  <wp:align>left</wp:align>
                </wp:positionH>
                <wp:positionV relativeFrom="line">
                  <wp:align>top</wp:align>
                </wp:positionV>
                <wp:extent cx="1524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ability to successfully build a commercial infrastructure to launch and market apitegromab, or otherwise provide access to apitegromab, if and when it is approved or receives pricing or reimbursement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2">
                <wp:simplePos x="0" y="0"/>
                <wp:positionH relativeFrom="column">
                  <wp:align>left</wp:align>
                </wp:positionH>
                <wp:positionV relativeFrom="line">
                  <wp:align>top</wp:align>
                </wp:positionV>
                <wp:extent cx="1524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ability, through third party manufacturers, to successfully manufacture commercial supply of apitegromab;</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3">
                <wp:simplePos x="0" y="0"/>
                <wp:positionH relativeFrom="column">
                  <wp:align>left</wp:align>
                </wp:positionH>
                <wp:positionV relativeFrom="line">
                  <wp:align>top</wp:align>
                </wp:positionV>
                <wp:extent cx="1524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rate and degree of market acceptance of apitegromab, if approved;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4">
                <wp:simplePos x="0" y="0"/>
                <wp:positionH relativeFrom="column">
                  <wp:align>left</wp:align>
                </wp:positionH>
                <wp:positionV relativeFrom="line">
                  <wp:align>top</wp:align>
                </wp:positionV>
                <wp:extent cx="1524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size and growth potential of the markets for apitegromab, and our ability to serve those markets, either alone or in combination with others;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5">
                <wp:simplePos x="0" y="0"/>
                <wp:positionH relativeFrom="column">
                  <wp:align>left</wp:align>
                </wp:positionH>
                <wp:positionV relativeFrom="line">
                  <wp:align>top</wp:align>
                </wp:positionV>
                <wp:extent cx="1524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clinical utility of apitegromab and its potential advantages over other therapeutic options;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6">
                <wp:simplePos x="0" y="0"/>
                <wp:positionH relativeFrom="column">
                  <wp:align>left</wp:align>
                </wp:positionH>
                <wp:positionV relativeFrom="line">
                  <wp:align>top</wp:align>
                </wp:positionV>
                <wp:extent cx="1524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potential benefit of orphan drug exclusivity, Orphan Drug designation, Fast Track designation and Rare Pediatric Disease designation for apitegromab;</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7">
                <wp:simplePos x="0" y="0"/>
                <wp:positionH relativeFrom="column">
                  <wp:align>left</wp:align>
                </wp:positionH>
                <wp:positionV relativeFrom="line">
                  <wp:align>top</wp:align>
                </wp:positionV>
                <wp:extent cx="1524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success in identifying and executing development programs for additional formulations and indications for apitegromab;</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8">
                <wp:simplePos x="0" y="0"/>
                <wp:positionH relativeFrom="column">
                  <wp:align>left</wp:align>
                </wp:positionH>
                <wp:positionV relativeFrom="line">
                  <wp:align>top</wp:align>
                </wp:positionV>
                <wp:extent cx="1524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success, cost and timing of clinical trials, including the progress, completion, timing of results, and actual results of our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29">
                <wp:simplePos x="0" y="0"/>
                <wp:positionH relativeFrom="column">
                  <wp:align>left</wp:align>
                </wp:positionH>
                <wp:positionV relativeFrom="line">
                  <wp:align>top</wp:align>
                </wp:positionV>
                <wp:extent cx="1524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fact that top-line or interim data from our clinical studies may not be predictive of the final or more detailed results of such study or the results of other ongoing or future studies;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30">
                <wp:simplePos x="0" y="0"/>
                <wp:positionH relativeFrom="column">
                  <wp:align>left</wp:align>
                </wp:positionH>
                <wp:positionV relativeFrom="line">
                  <wp:align>top</wp:align>
                </wp:positionV>
                <wp:extent cx="1524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success in identifying and executing a development program for our preclinical product candidates, including SRK-373, SRK-256 and identifying additional product candidates from our preclinical programs and research pipeline;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31">
                <wp:simplePos x="0" y="0"/>
                <wp:positionH relativeFrom="column">
                  <wp:align>left</wp:align>
                </wp:positionH>
                <wp:positionV relativeFrom="line">
                  <wp:align>top</wp:align>
                </wp:positionV>
                <wp:extent cx="1524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ability to retain our executives and highly skilled technical and managerial personnel, which could be affected due to any transition in management, or if we fail to recruit additional highly skilled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32">
                <wp:simplePos x="0" y="0"/>
                <wp:positionH relativeFrom="column">
                  <wp:align>left</wp:align>
                </wp:positionH>
                <wp:positionV relativeFrom="line">
                  <wp:align>top</wp:align>
                </wp:positionV>
                <wp:extent cx="1524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expectations regarding our ability to obtain and maintain intellectual property protection for our product candidates and the duration of such protection and our ability to operate our business without infringing on the intellectual property rights of others;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33">
                <wp:simplePos x="0" y="0"/>
                <wp:positionH relativeFrom="column">
                  <wp:align>left</wp:align>
                </wp:positionH>
                <wp:positionV relativeFrom="line">
                  <wp:align>top</wp:align>
                </wp:positionV>
                <wp:extent cx="1524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S-8</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120" w:after="313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ability to obtain, generally or on terms acceptable to us, funding for our operations, including funding necessary to commercialize, if approved, apitegromab and complete further development of our current and future product candidates;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34">
                <wp:simplePos x="0" y="0"/>
                <wp:positionH relativeFrom="column">
                  <wp:align>left</wp:align>
                </wp:positionH>
                <wp:positionV relativeFrom="line">
                  <wp:posOffset>635</wp:posOffset>
                </wp:positionV>
                <wp:extent cx="1524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ability to establish or maintain collaborations or strategic relationships;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5">
                <wp:simplePos x="0" y="0"/>
                <wp:positionH relativeFrom="column">
                  <wp:align>left</wp:align>
                </wp:positionH>
                <wp:positionV relativeFrom="line">
                  <wp:align>top</wp:align>
                </wp:positionV>
                <wp:extent cx="1524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expectations relating to the potential of our proprietary platform technology;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6">
                <wp:simplePos x="0" y="0"/>
                <wp:positionH relativeFrom="column">
                  <wp:align>left</wp:align>
                </wp:positionH>
                <wp:positionV relativeFrom="line">
                  <wp:align>top</wp:align>
                </wp:positionV>
                <wp:extent cx="1524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impact of new laws and regulations or amendments to existing laws and regulations in the United States and foreign countries;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7">
                <wp:simplePos x="0" y="0"/>
                <wp:positionH relativeFrom="column">
                  <wp:align>left</wp:align>
                </wp:positionH>
                <wp:positionV relativeFrom="line">
                  <wp:align>top</wp:align>
                </wp:positionV>
                <wp:extent cx="1524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risks associated with the impact of global economic and political developments on our business, including rising inflation and capital market disruptions, tariff policies, economic sanctions and economic slowdowns or recessions or public health pandemics;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8">
                <wp:simplePos x="0" y="0"/>
                <wp:positionH relativeFrom="column">
                  <wp:align>left</wp:align>
                </wp:positionH>
                <wp:positionV relativeFrom="line">
                  <wp:align>top</wp:align>
                </wp:positionV>
                <wp:extent cx="1524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developments and projections relating to our competitors and our industry;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9">
                <wp:simplePos x="0" y="0"/>
                <wp:positionH relativeFrom="column">
                  <wp:align>left</wp:align>
                </wp:positionH>
                <wp:positionV relativeFrom="line">
                  <wp:align>top</wp:align>
                </wp:positionV>
                <wp:extent cx="1524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expected use of proceeds from this offering;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0">
                <wp:simplePos x="0" y="0"/>
                <wp:positionH relativeFrom="column">
                  <wp:align>left</wp:align>
                </wp:positionH>
                <wp:positionV relativeFrom="line">
                  <wp:align>top</wp:align>
                </wp:positionV>
                <wp:extent cx="1524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our estimates and expectations regarding cash, cash reserves, and expense levels, future revenues, capital requirements and needs for additional financing, including our expected use of proceeds from our public offerings, and liquidity sources.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1">
                <wp:simplePos x="0" y="0"/>
                <wp:positionH relativeFrom="column">
                  <wp:align>left</wp:align>
                </wp:positionH>
                <wp:positionV relativeFrom="line">
                  <wp:align>top</wp:align>
                </wp:positionV>
                <wp:extent cx="1524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have included important factors in the cautionary statements included in this prospectus and the documents we incorporate by reference herein and therein, particularly in the “Risk factors” sections of these documents,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You should read this prospectus, the accompanying prospectus and the documents that we incorporate by reference herein and therein completely and with the understanding that our actual future results may be materially different from what we expect. The forward-looking statements in this prospectus and the accompanying prospectus and the documents we incorporate by reference herein and therein represent our views as of the date of this prospectus. We anticipate that subsequent events and developments will cause our views to change. However, while we may elect to update these forward- 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S-9</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844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USE OF PROCEEDS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may issue and sell shares of our common stock having aggregate sales proceeds of up to $200,000,000 from time to time. Because there is no minimum offering amount required as a condition to close this offering, the actual total public offering amount, commissions and proceeds to us, if any, are not determinable at this time.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intend to use the net proceeds we receive, together with our existing cash, cash equivalents and investments, to support commercialization of apitegromab, including further buildout of our commercial infrastructure and supply chain, advance our ongoing and future clinical programs, to further develop our technology platform to continue to advance our clinical and preclinical pipeline, and for working capital and other general corporate purposes. Any remaining proceeds will be used for other ongoing research and development activities and general corporate purposes, such as working capital, operating expenses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r>
        <w:rPr>
          <w:rFonts w:ascii="Arial;Helvetica;sans-serif" w:hAnsi="Arial;Helvetica;sans-serif"/>
          <w:b w:val="false"/>
          <w:i w:val="false"/>
          <w:caps w:val="false"/>
          <w:smallCaps w:val="false"/>
          <w:color w:val="000000"/>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S-10</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DIL"/>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DILUTION</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Purchasers of common stock offered by this prospectus will suffer immediate and substantial dilution in the net tangible book value per share of common stock. Our net tangible book value as of June 30, 2026 was approximately $253.8 million, or approximately $2.09 per share of common stock. Net tangible book value per share represents the amount of total tangible assets (total assets less intangible assets) less total liabilities, divided by the number of shares of our common stock outstanding as of June 30, 2026.</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Dilution in net tangible book value per share represents the difference between the amount per share paid by purchasers in this offering and the net tangible book value (deficit) per share of our common stock immediately after this offering. After giving effect to the assumed sale of shares of our common stock in the aggregate amount of approximately $200.0 million at an assumed offering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 the last reported sale price of our common stock on August 3, 2026, and after deduction of commissions and offering expenses payable by us, our as adjusted net tangible book value as of June 30, 2026 would have been approximately $</w:t>
      </w:r>
      <w:r>
        <w:rPr>
          <w:rFonts w:ascii="Arial;Helvetica;sans-serif" w:hAnsi="Arial;Helvetica;sans-serif"/>
          <w:b w:val="false"/>
          <w:i w:val="false"/>
          <w:caps w:val="false"/>
          <w:smallCaps w:val="false"/>
          <w:color w:val="000000"/>
          <w:spacing w:val="-7"/>
          <w:sz w:val="19"/>
        </w:rPr>
        <w:t>447.5</w:t>
      </w:r>
      <w:r>
        <w:rPr>
          <w:rFonts w:ascii="Arial;Helvetica;sans-serif" w:hAnsi="Arial;Helvetica;sans-serif"/>
          <w:b w:val="false"/>
          <w:i w:val="false"/>
          <w:caps w:val="false"/>
          <w:smallCaps w:val="false"/>
          <w:color w:val="000000"/>
          <w:spacing w:val="-1"/>
          <w:sz w:val="19"/>
        </w:rPr>
        <w:t xml:space="preserve"> million, or $</w:t>
      </w:r>
      <w:r>
        <w:rPr>
          <w:rFonts w:ascii="Arial;Helvetica;sans-serif" w:hAnsi="Arial;Helvetica;sans-serif"/>
          <w:b w:val="false"/>
          <w:i w:val="false"/>
          <w:caps w:val="false"/>
          <w:smallCaps w:val="false"/>
          <w:color w:val="000000"/>
          <w:spacing w:val="-7"/>
          <w:sz w:val="19"/>
        </w:rPr>
        <w:t>3.55</w:t>
      </w:r>
      <w:r>
        <w:rPr>
          <w:rFonts w:ascii="Arial;Helvetica;sans-serif" w:hAnsi="Arial;Helvetica;sans-serif"/>
          <w:b w:val="false"/>
          <w:i w:val="false"/>
          <w:caps w:val="false"/>
          <w:smallCaps w:val="false"/>
          <w:color w:val="000000"/>
          <w:spacing w:val="-1"/>
          <w:sz w:val="19"/>
        </w:rPr>
        <w:t xml:space="preserve"> per share of common stock. This represents an immediate increase in net tangible book value of $</w:t>
      </w:r>
      <w:r>
        <w:rPr>
          <w:rFonts w:ascii="Arial;Helvetica;sans-serif" w:hAnsi="Arial;Helvetica;sans-serif"/>
          <w:b w:val="false"/>
          <w:i w:val="false"/>
          <w:caps w:val="false"/>
          <w:smallCaps w:val="false"/>
          <w:color w:val="000000"/>
          <w:spacing w:val="-7"/>
          <w:sz w:val="19"/>
        </w:rPr>
        <w:t>1.46</w:t>
      </w:r>
      <w:r>
        <w:rPr>
          <w:rFonts w:ascii="Arial;Helvetica;sans-serif" w:hAnsi="Arial;Helvetica;sans-serif"/>
          <w:b w:val="false"/>
          <w:i w:val="false"/>
          <w:caps w:val="false"/>
          <w:smallCaps w:val="false"/>
          <w:color w:val="000000"/>
          <w:spacing w:val="-1"/>
          <w:sz w:val="19"/>
        </w:rPr>
        <w:t xml:space="preserve"> per share of common stock to our existing stockholders and an immediate dilution in net tangible book value of $</w:t>
      </w:r>
      <w:r>
        <w:rPr>
          <w:rFonts w:ascii="Arial;Helvetica;sans-serif" w:hAnsi="Arial;Helvetica;sans-serif"/>
          <w:b w:val="false"/>
          <w:i w:val="false"/>
          <w:caps w:val="false"/>
          <w:smallCaps w:val="false"/>
          <w:color w:val="000000"/>
          <w:spacing w:val="-7"/>
          <w:sz w:val="19"/>
        </w:rPr>
        <w:t>42.30</w:t>
      </w:r>
      <w:r>
        <w:rPr>
          <w:rFonts w:ascii="Arial;Helvetica;sans-serif" w:hAnsi="Arial;Helvetica;sans-serif"/>
          <w:b w:val="false"/>
          <w:i w:val="false"/>
          <w:caps w:val="false"/>
          <w:smallCaps w:val="false"/>
          <w:color w:val="000000"/>
          <w:spacing w:val="-1"/>
          <w:sz w:val="19"/>
        </w:rPr>
        <w:t xml:space="preserve"> per share of common stock to investors participating in this offering at an assumed offering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following table illustrates this per share dilution:</w:t>
      </w:r>
      <w:r>
        <w:rPr>
          <w:rFonts w:ascii="Arial;Helvetica;sans-serif" w:hAnsi="Arial;Helvetica;sans-serif"/>
          <w:b w:val="false"/>
          <w:i w:val="false"/>
          <w:caps w:val="false"/>
          <w:smallCaps w:val="false"/>
          <w:color w:val="000000"/>
          <w:spacing w:val="4"/>
          <w:sz w:val="19"/>
        </w:rPr>
        <w:t xml:space="preserve"> </w:t>
      </w:r>
    </w:p>
    <w:tbl>
      <w:tblPr>
        <w:tblW w:w="8812" w:type="dxa"/>
        <w:jc w:val="left"/>
        <w:tblInd w:w="1393" w:type="dxa"/>
        <w:tblLayout w:type="fixed"/>
        <w:tblCellMar>
          <w:top w:w="0" w:type="dxa"/>
          <w:left w:w="0" w:type="dxa"/>
          <w:bottom w:w="0" w:type="dxa"/>
          <w:right w:w="0" w:type="dxa"/>
        </w:tblCellMar>
      </w:tblPr>
      <w:tblGrid>
        <w:gridCol w:w="124"/>
        <w:gridCol w:w="5969"/>
        <w:gridCol w:w="109"/>
        <w:gridCol w:w="109"/>
        <w:gridCol w:w="109"/>
        <w:gridCol w:w="226"/>
        <w:gridCol w:w="560"/>
        <w:gridCol w:w="109"/>
        <w:gridCol w:w="109"/>
        <w:gridCol w:w="109"/>
        <w:gridCol w:w="109"/>
        <w:gridCol w:w="226"/>
        <w:gridCol w:w="6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5969" w:type="dxa"/>
            <w:tcBorders/>
            <w:shd w:fill="CCEEFF" w:val="clear"/>
            <w:vAlign w:val="center"/>
          </w:tcPr>
          <w:p>
            <w:pPr>
              <w:pStyle w:val="TableContents"/>
              <w:bidi w:val="0"/>
              <w:spacing w:before="0" w:after="0"/>
              <w:jc w:val="left"/>
              <w:rPr>
                <w:spacing w:val="-1"/>
              </w:rPr>
            </w:pPr>
            <w:r>
              <w:rPr>
                <w:spacing w:val="-1"/>
              </w:rPr>
              <w:t xml:space="preserve">Assumed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6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80" w:type="dxa"/>
            <w:tcBorders/>
            <w:shd w:fill="CCEEFF" w:val="clear"/>
            <w:vAlign w:val="center"/>
          </w:tcPr>
          <w:p>
            <w:pPr>
              <w:pStyle w:val="TableContents"/>
              <w:bidi w:val="0"/>
              <w:spacing w:before="0" w:after="283"/>
              <w:jc w:val="right"/>
              <w:rPr/>
            </w:pPr>
            <w:r>
              <w:rPr/>
              <w:t xml:space="preserve">45.85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69" w:type="dxa"/>
            <w:tcBorders/>
            <w:vAlign w:val="center"/>
          </w:tcPr>
          <w:p>
            <w:pPr>
              <w:pStyle w:val="TableContents"/>
              <w:bidi w:val="0"/>
              <w:spacing w:before="0" w:after="0"/>
              <w:jc w:val="left"/>
              <w:rPr>
                <w:spacing w:val="-1"/>
              </w:rPr>
            </w:pPr>
            <w:r>
              <w:rPr>
                <w:spacing w:val="-1"/>
              </w:rPr>
              <w:t xml:space="preserve">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60" w:type="dxa"/>
            <w:tcBorders/>
            <w:vAlign w:val="center"/>
          </w:tcPr>
          <w:p>
            <w:pPr>
              <w:pStyle w:val="TableContents"/>
              <w:bidi w:val="0"/>
              <w:spacing w:before="0" w:after="283"/>
              <w:jc w:val="right"/>
              <w:rPr/>
            </w:pPr>
            <w:r>
              <w:rPr/>
              <w:t>2.09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8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969" w:type="dxa"/>
            <w:tcBorders>
              <w:bottom w:val="single" w:sz="2" w:space="0" w:color="CCEEFF"/>
            </w:tcBorders>
            <w:shd w:fill="CCEEFF" w:val="clear"/>
            <w:tcMar>
              <w:bottom w:w="45" w:type="dxa"/>
            </w:tcMar>
            <w:vAlign w:val="center"/>
          </w:tcPr>
          <w:p>
            <w:pPr>
              <w:pStyle w:val="TableContents"/>
              <w:bidi w:val="0"/>
              <w:spacing w:before="0" w:after="0"/>
              <w:jc w:val="left"/>
              <w:rPr>
                <w:spacing w:val="-1"/>
              </w:rPr>
            </w:pPr>
            <w:r>
              <w:rPr>
                <w:spacing w:val="-1"/>
              </w:rPr>
              <w:t xml:space="preserve">Increase in per share attributable to new investors attributable to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5" w:type="dxa"/>
            </w:tcMar>
            <w:vAlign w:val="center"/>
          </w:tcPr>
          <w:p>
            <w:pPr>
              <w:pStyle w:val="TableContents"/>
              <w:bidi w:val="0"/>
              <w:spacing w:before="0" w:after="283"/>
              <w:jc w:val="right"/>
              <w:rPr/>
            </w:pPr>
            <w:r>
              <w:rPr/>
              <w:t>$</w:t>
            </w:r>
          </w:p>
        </w:tc>
        <w:tc>
          <w:tcPr>
            <w:tcW w:w="560" w:type="dxa"/>
            <w:tcBorders>
              <w:bottom w:val="single" w:sz="2" w:space="0" w:color="000000"/>
            </w:tcBorders>
            <w:shd w:fill="CCEEFF" w:val="clear"/>
            <w:tcMar>
              <w:bottom w:w="45" w:type="dxa"/>
            </w:tcMar>
            <w:vAlign w:val="center"/>
          </w:tcPr>
          <w:p>
            <w:pPr>
              <w:pStyle w:val="TableContents"/>
              <w:bidi w:val="0"/>
              <w:spacing w:before="0" w:after="283"/>
              <w:jc w:val="right"/>
              <w:rPr/>
            </w:pPr>
            <w:r>
              <w:rPr/>
              <w:t xml:space="preserve">1.46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8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969" w:type="dxa"/>
            <w:tcBorders>
              <w:bottom w:val="single" w:sz="2" w:space="0" w:color="FFFFFF"/>
            </w:tcBorders>
            <w:tcMar>
              <w:bottom w:w="28" w:type="dxa"/>
            </w:tcMar>
            <w:vAlign w:val="center"/>
          </w:tcPr>
          <w:p>
            <w:pPr>
              <w:pStyle w:val="TableContents"/>
              <w:bidi w:val="0"/>
              <w:spacing w:before="0" w:after="0"/>
              <w:ind w:left="190" w:right="0" w:hanging="190"/>
              <w:jc w:val="left"/>
              <w:rPr>
                <w:spacing w:val="-1"/>
              </w:rPr>
            </w:pPr>
            <w:r>
              <w:rPr>
                <w:spacing w:val="-1"/>
              </w:rPr>
              <w:t xml:space="preserve">As adjusted net tangible book value per share as of June 30, 2026, after giving effect to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560"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28" w:type="dxa"/>
            </w:tcMar>
            <w:vAlign w:val="center"/>
          </w:tcPr>
          <w:p>
            <w:pPr>
              <w:pStyle w:val="TableContents"/>
              <w:bidi w:val="0"/>
              <w:spacing w:before="0" w:after="283"/>
              <w:jc w:val="right"/>
              <w:rPr/>
            </w:pPr>
            <w:r>
              <w:rPr/>
              <w:t>$</w:t>
            </w:r>
          </w:p>
        </w:tc>
        <w:tc>
          <w:tcPr>
            <w:tcW w:w="680" w:type="dxa"/>
            <w:tcBorders>
              <w:bottom w:val="single" w:sz="2" w:space="0" w:color="000000"/>
            </w:tcBorders>
            <w:tcMar>
              <w:bottom w:w="28" w:type="dxa"/>
            </w:tcMar>
            <w:vAlign w:val="center"/>
          </w:tcPr>
          <w:p>
            <w:pPr>
              <w:pStyle w:val="TableContents"/>
              <w:bidi w:val="0"/>
              <w:spacing w:before="0" w:after="283"/>
              <w:jc w:val="right"/>
              <w:rPr/>
            </w:pPr>
            <w:r>
              <w:rPr/>
              <w:t xml:space="preserve">3.55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969" w:type="dxa"/>
            <w:tcBorders/>
            <w:shd w:fill="CCEEFF" w:val="clear"/>
            <w:vAlign w:val="center"/>
          </w:tcPr>
          <w:p>
            <w:pPr>
              <w:pStyle w:val="TableContents"/>
              <w:bidi w:val="0"/>
              <w:spacing w:before="0" w:after="0"/>
              <w:jc w:val="left"/>
              <w:rPr>
                <w:spacing w:val="-1"/>
              </w:rPr>
            </w:pPr>
            <w:r>
              <w:rPr>
                <w:spacing w:val="-1"/>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6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5" w:type="dxa"/>
            </w:tcMar>
            <w:vAlign w:val="center"/>
          </w:tcPr>
          <w:p>
            <w:pPr>
              <w:pStyle w:val="TableContents"/>
              <w:bidi w:val="0"/>
              <w:spacing w:before="0" w:after="283"/>
              <w:jc w:val="right"/>
              <w:rPr/>
            </w:pPr>
            <w:r>
              <w:rPr/>
              <w:t>$</w:t>
            </w:r>
          </w:p>
        </w:tc>
        <w:tc>
          <w:tcPr>
            <w:tcW w:w="680" w:type="dxa"/>
            <w:tcBorders>
              <w:bottom w:val="double" w:sz="8" w:space="0" w:color="000000"/>
            </w:tcBorders>
            <w:shd w:fill="CCEEFF" w:val="clear"/>
            <w:tcMar>
              <w:bottom w:w="45" w:type="dxa"/>
            </w:tcMar>
            <w:vAlign w:val="center"/>
          </w:tcPr>
          <w:p>
            <w:pPr>
              <w:pStyle w:val="TableContents"/>
              <w:bidi w:val="0"/>
              <w:spacing w:before="0" w:after="283"/>
              <w:jc w:val="right"/>
              <w:rPr/>
            </w:pPr>
            <w:r>
              <w:rPr/>
              <w:t>42.30</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8812" w:type="dxa"/>
            <w:gridSpan w:val="15"/>
            <w:tcBorders/>
            <w:vAlign w:val="center"/>
          </w:tcPr>
          <w:p>
            <w:pPr>
              <w:pStyle w:val="TableContents"/>
              <w:bidi w:val="0"/>
              <w:spacing w:before="0" w:after="283"/>
              <w:jc w:val="left"/>
              <w:rPr/>
            </w:pPr>
            <w:r>
              <w:rPr/>
              <w:t>​</w:t>
            </w:r>
          </w:p>
        </w:tc>
      </w:tr>
    </w:tbl>
    <w:p>
      <w:pPr>
        <w:pStyle w:val="TextBody"/>
        <w:bidi w:val="0"/>
        <w:spacing w:lineRule="atLeast" w:line="240" w:before="154" w:after="283"/>
        <w:ind w:left="13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The table above assumes for illustrative purposes that an aggregate of </w:t>
      </w:r>
      <w:r>
        <w:rPr>
          <w:rFonts w:ascii="Arial;Helvetica;sans-serif" w:hAnsi="Arial;Helvetica;sans-serif"/>
          <w:b w:val="false"/>
          <w:i w:val="false"/>
          <w:caps w:val="false"/>
          <w:smallCaps w:val="false"/>
          <w:color w:val="000000"/>
          <w:spacing w:val="-7"/>
          <w:sz w:val="19"/>
        </w:rPr>
        <w:t>4,362,050</w:t>
      </w:r>
      <w:r>
        <w:rPr>
          <w:rFonts w:ascii="Arial;Helvetica;sans-serif" w:hAnsi="Arial;Helvetica;sans-serif"/>
          <w:b w:val="false"/>
          <w:i w:val="false"/>
          <w:caps w:val="false"/>
          <w:smallCaps w:val="false"/>
          <w:color w:val="000000"/>
          <w:spacing w:val="-1"/>
          <w:sz w:val="19"/>
        </w:rPr>
        <w:t xml:space="preserve"> shares of our common stock are sold at a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 the last reported sale price of our common stock on the Nasdaq Global Select Market on August 3, 2026, for aggregate gross proceeds of approximately $200.0 million. The shares sold in this offering, if any, will be sold from time to time at various prices. An increase of $1.00 per share in the price at which the shares are sold from the assumed offering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 shown in the table above, assuming all of our common stock in the aggregate amount of approximately $200.0 million is sold at that price, would result in an increase to our adjusted net tangible book value per share after the offering to $</w:t>
      </w:r>
      <w:r>
        <w:rPr>
          <w:rFonts w:ascii="Arial;Helvetica;sans-serif" w:hAnsi="Arial;Helvetica;sans-serif"/>
          <w:b w:val="false"/>
          <w:i w:val="false"/>
          <w:caps w:val="false"/>
          <w:smallCaps w:val="false"/>
          <w:color w:val="000000"/>
          <w:spacing w:val="-7"/>
          <w:sz w:val="19"/>
        </w:rPr>
        <w:t>3.56</w:t>
      </w:r>
      <w:r>
        <w:rPr>
          <w:rFonts w:ascii="Arial;Helvetica;sans-serif" w:hAnsi="Arial;Helvetica;sans-serif"/>
          <w:b w:val="false"/>
          <w:i w:val="false"/>
          <w:caps w:val="false"/>
          <w:smallCaps w:val="false"/>
          <w:color w:val="000000"/>
          <w:spacing w:val="-1"/>
          <w:sz w:val="19"/>
        </w:rPr>
        <w:t xml:space="preserve"> and an increase in the dilution in net tangible book value per share to new investors in this offering to $</w:t>
      </w:r>
      <w:r>
        <w:rPr>
          <w:rFonts w:ascii="Arial;Helvetica;sans-serif" w:hAnsi="Arial;Helvetica;sans-serif"/>
          <w:b w:val="false"/>
          <w:i w:val="false"/>
          <w:caps w:val="false"/>
          <w:smallCaps w:val="false"/>
          <w:color w:val="000000"/>
          <w:spacing w:val="-7"/>
          <w:sz w:val="19"/>
        </w:rPr>
        <w:t>43.29</w:t>
      </w:r>
      <w:r>
        <w:rPr>
          <w:rFonts w:ascii="Arial;Helvetica;sans-serif" w:hAnsi="Arial;Helvetica;sans-serif"/>
          <w:b w:val="false"/>
          <w:i w:val="false"/>
          <w:caps w:val="false"/>
          <w:smallCaps w:val="false"/>
          <w:color w:val="000000"/>
          <w:spacing w:val="-1"/>
          <w:sz w:val="19"/>
        </w:rPr>
        <w:t>, after deducting commissions and estimated offering expenses payable by us. A decrease of $1.00 per share in the price at which the shares are sold from the assumed offering price of $</w:t>
      </w:r>
      <w:r>
        <w:rPr>
          <w:rFonts w:ascii="Arial;Helvetica;sans-serif" w:hAnsi="Arial;Helvetica;sans-serif"/>
          <w:b w:val="false"/>
          <w:i w:val="false"/>
          <w:caps w:val="false"/>
          <w:smallCaps w:val="false"/>
          <w:color w:val="000000"/>
          <w:spacing w:val="-7"/>
          <w:sz w:val="19"/>
        </w:rPr>
        <w:t>45.85</w:t>
      </w:r>
      <w:r>
        <w:rPr>
          <w:rFonts w:ascii="Arial;Helvetica;sans-serif" w:hAnsi="Arial;Helvetica;sans-serif"/>
          <w:b w:val="false"/>
          <w:i w:val="false"/>
          <w:caps w:val="false"/>
          <w:smallCaps w:val="false"/>
          <w:color w:val="000000"/>
          <w:spacing w:val="-1"/>
          <w:sz w:val="19"/>
        </w:rPr>
        <w:t xml:space="preserve"> per share shown in the table above, assuming all of our common stock in the aggregate amount of approximately $200.0 million is sold at that price, would result in a decrease to our adjusted net tangible book value per share after the offering to $</w:t>
      </w:r>
      <w:r>
        <w:rPr>
          <w:rFonts w:ascii="Arial;Helvetica;sans-serif" w:hAnsi="Arial;Helvetica;sans-serif"/>
          <w:b w:val="false"/>
          <w:i w:val="false"/>
          <w:caps w:val="false"/>
          <w:smallCaps w:val="false"/>
          <w:color w:val="000000"/>
          <w:spacing w:val="-7"/>
          <w:sz w:val="19"/>
        </w:rPr>
        <w:t>3.55</w:t>
      </w:r>
      <w:r>
        <w:rPr>
          <w:rFonts w:ascii="Arial;Helvetica;sans-serif" w:hAnsi="Arial;Helvetica;sans-serif"/>
          <w:b w:val="false"/>
          <w:i w:val="false"/>
          <w:caps w:val="false"/>
          <w:smallCaps w:val="false"/>
          <w:color w:val="000000"/>
          <w:spacing w:val="-1"/>
          <w:sz w:val="19"/>
        </w:rPr>
        <w:t xml:space="preserve"> and a decrease in the dilution in net tangible book value per share to new investors in this offering to $</w:t>
      </w:r>
      <w:r>
        <w:rPr>
          <w:rFonts w:ascii="Arial;Helvetica;sans-serif" w:hAnsi="Arial;Helvetica;sans-serif"/>
          <w:b w:val="false"/>
          <w:i w:val="false"/>
          <w:caps w:val="false"/>
          <w:smallCaps w:val="false"/>
          <w:color w:val="000000"/>
          <w:spacing w:val="-7"/>
          <w:sz w:val="19"/>
        </w:rPr>
        <w:t>41.30</w:t>
      </w:r>
      <w:r>
        <w:rPr>
          <w:rFonts w:ascii="Arial;Helvetica;sans-serif" w:hAnsi="Arial;Helvetica;sans-serif"/>
          <w:b w:val="false"/>
          <w:i w:val="false"/>
          <w:caps w:val="false"/>
          <w:smallCaps w:val="false"/>
          <w:color w:val="000000"/>
          <w:spacing w:val="-1"/>
          <w:sz w:val="19"/>
        </w:rPr>
        <w:t>, after deducting commissions and estimated offering expenses payable by us. This information is supplied for illustrative purposes only, and will adjust based on the actual offering prices, the actual number of shares that we offer and sell in this offering and other terms of each sale of shares in this offering.</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The information above and in the foregoing table is based upon 121,600,396 shares of our common stock outstanding as of June 30, 2026. The information above and in the foregoing table excludes as of June 30, </w:t>
      </w:r>
      <w:r>
        <w:rPr>
          <w:rFonts w:ascii="Arial;Helvetica;sans-serif" w:hAnsi="Arial;Helvetica;sans-serif"/>
          <w:b w:val="false"/>
          <w:i w:val="false"/>
          <w:caps w:val="false"/>
          <w:smallCaps w:val="false"/>
          <w:color w:val="000000"/>
          <w:spacing w:val="-7"/>
          <w:sz w:val="19"/>
        </w:rPr>
        <w:t>2026:</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10,558,065 pre-funded warrants to purchase shares of common stock with an exercise price of $0.0001 per share;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42">
                <wp:simplePos x="0" y="0"/>
                <wp:positionH relativeFrom="column">
                  <wp:align>left</wp:align>
                </wp:positionH>
                <wp:positionV relativeFrom="line">
                  <wp:posOffset>635</wp:posOffset>
                </wp:positionV>
                <wp:extent cx="152400" cy="14605"/>
                <wp:effectExtent l="0" t="0" r="0" b="0"/>
                <wp:wrapSquare wrapText="right"/>
                <wp:docPr id="40" name="Frame39"/>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166,909 shares of common stock issuable upon the exercise of stock options outstanding under our 2017 Stock Option and Incentive Plan at a weighted-average exercise price of $6.17 per share;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43">
                <wp:simplePos x="0" y="0"/>
                <wp:positionH relativeFrom="column">
                  <wp:align>left</wp:align>
                </wp:positionH>
                <wp:positionV relativeFrom="line">
                  <wp:posOffset>635</wp:posOffset>
                </wp:positionV>
                <wp:extent cx="152400" cy="14605"/>
                <wp:effectExtent l="0" t="0" r="0" b="0"/>
                <wp:wrapSquare wrapText="right"/>
                <wp:docPr id="41" name="Frame40"/>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S-11</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120" w:after="601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4,312,627 shares of common stock issuable upon the exercise of stock options outstanding under our 2018 Stock Option and Incentive Plan at a weighted-average exercise price of $23.03 per share;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52400" cy="14605"/>
                <wp:effectExtent l="0" t="0" r="0" b="0"/>
                <wp:wrapSquare wrapText="right"/>
                <wp:docPr id="42" name="Frame41"/>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2,248,020 shares of common stock issuable upon the vesting and settlement of restricted stock units issued under our 2018 Stock Option and Incentive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5">
                <wp:simplePos x="0" y="0"/>
                <wp:positionH relativeFrom="column">
                  <wp:align>left</wp:align>
                </wp:positionH>
                <wp:positionV relativeFrom="line">
                  <wp:posOffset>635</wp:posOffset>
                </wp:positionV>
                <wp:extent cx="152400" cy="14605"/>
                <wp:effectExtent l="0" t="0" r="0" b="0"/>
                <wp:wrapSquare wrapText="right"/>
                <wp:docPr id="43" name="Frame42"/>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1,090,809 shares of common stock issuable upon the vesting and settlement of performance stock units issued under our 2018 Stock Option and Incentive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6">
                <wp:simplePos x="0" y="0"/>
                <wp:positionH relativeFrom="column">
                  <wp:align>left</wp:align>
                </wp:positionH>
                <wp:positionV relativeFrom="line">
                  <wp:posOffset>635</wp:posOffset>
                </wp:positionV>
                <wp:extent cx="152400" cy="14605"/>
                <wp:effectExtent l="0" t="0" r="0" b="0"/>
                <wp:wrapSquare wrapText="right"/>
                <wp:docPr id="44" name="Frame43"/>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6,693,476 shares of common stock reserved for future issuance under our 2018 Stock Option and Incentive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7">
                <wp:simplePos x="0" y="0"/>
                <wp:positionH relativeFrom="column">
                  <wp:align>left</wp:align>
                </wp:positionH>
                <wp:positionV relativeFrom="line">
                  <wp:posOffset>635</wp:posOffset>
                </wp:positionV>
                <wp:extent cx="152400" cy="14605"/>
                <wp:effectExtent l="0" t="0" r="0" b="0"/>
                <wp:wrapSquare wrapText="right"/>
                <wp:docPr id="45" name="Frame44"/>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2,903,919 shares of common stock available for future issuance under our 2018 Employee Stock Purchase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8">
                <wp:simplePos x="0" y="0"/>
                <wp:positionH relativeFrom="column">
                  <wp:align>left</wp:align>
                </wp:positionH>
                <wp:positionV relativeFrom="line">
                  <wp:posOffset>635</wp:posOffset>
                </wp:positionV>
                <wp:extent cx="152400" cy="14605"/>
                <wp:effectExtent l="0" t="0" r="0" b="0"/>
                <wp:wrapSquare wrapText="right"/>
                <wp:docPr id="46" name="Frame45"/>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2,206,847 shares of common stock issuable upon the exercise of stock options outstanding under our 2022 Inducement Equity Plan at a weighted-average exercise price of $28.17 per share;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49">
                <wp:simplePos x="0" y="0"/>
                <wp:positionH relativeFrom="column">
                  <wp:align>left</wp:align>
                </wp:positionH>
                <wp:positionV relativeFrom="line">
                  <wp:posOffset>635</wp:posOffset>
                </wp:positionV>
                <wp:extent cx="152400" cy="14605"/>
                <wp:effectExtent l="0" t="0" r="0" b="0"/>
                <wp:wrapSquare wrapText="right"/>
                <wp:docPr id="47" name="Frame46"/>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1,350,726 shares of common stock issuable upon the vesting and settlement of restricted stock units issued under our 2022 Inducement Equity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50">
                <wp:simplePos x="0" y="0"/>
                <wp:positionH relativeFrom="column">
                  <wp:align>left</wp:align>
                </wp:positionH>
                <wp:positionV relativeFrom="line">
                  <wp:posOffset>635</wp:posOffset>
                </wp:positionV>
                <wp:extent cx="152400" cy="14605"/>
                <wp:effectExtent l="0" t="0" r="0" b="0"/>
                <wp:wrapSquare wrapText="right"/>
                <wp:docPr id="48" name="Frame47"/>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360,000 shares of common stock issuable upon the vesting and settlement of performance stock units issued under our 2022 Inducement Equity Plan;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51">
                <wp:simplePos x="0" y="0"/>
                <wp:positionH relativeFrom="column">
                  <wp:align>left</wp:align>
                </wp:positionH>
                <wp:positionV relativeFrom="line">
                  <wp:posOffset>635</wp:posOffset>
                </wp:positionV>
                <wp:extent cx="152400" cy="14605"/>
                <wp:effectExtent l="0" t="0" r="0" b="0"/>
                <wp:wrapSquare wrapText="right"/>
                <wp:docPr id="49" name="Frame48"/>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2,317,296 shares of common stock available for future issuance under our 2022 Inducement Equity Plan.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52">
                <wp:simplePos x="0" y="0"/>
                <wp:positionH relativeFrom="column">
                  <wp:align>left</wp:align>
                </wp:positionH>
                <wp:positionV relativeFrom="line">
                  <wp:posOffset>635</wp:posOffset>
                </wp:positionV>
                <wp:extent cx="152400" cy="14605"/>
                <wp:effectExtent l="0" t="0" r="0" b="0"/>
                <wp:wrapSquare wrapText="right"/>
                <wp:docPr id="50" name="Frame49"/>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new options are issued under our equity incentive plans or we issue additional shares of common stock or other equity or convertible debt securities in the future, there will be further dilution to investors participating in this offering.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S-12</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PLAN OF DISTRIBUTION</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2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have previously entered into a certain Open Market Sale Agreement</w:t>
      </w:r>
      <w:r>
        <w:rPr>
          <w:rFonts w:ascii="Arial;Helvetica;sans-serif" w:hAnsi="Arial;Helvetica;sans-serif"/>
          <w:b w:val="false"/>
          <w:i w:val="false"/>
          <w:caps w:val="false"/>
          <w:smallCaps w:val="false"/>
          <w:color w:val="000000"/>
          <w:spacing w:val="-5"/>
          <w:sz w:val="14"/>
        </w:rPr>
        <w:t>SM</w:t>
      </w:r>
      <w:r>
        <w:rPr>
          <w:rFonts w:ascii="Arial;Helvetica;sans-serif" w:hAnsi="Arial;Helvetica;sans-serif"/>
          <w:b w:val="false"/>
          <w:i w:val="false"/>
          <w:caps w:val="false"/>
          <w:smallCaps w:val="false"/>
          <w:color w:val="000000"/>
          <w:spacing w:val="-1"/>
          <w:sz w:val="19"/>
        </w:rPr>
        <w:t xml:space="preserve"> (the “sales agreement”), with Jefferies LLC (“Jefferies”), under which we may offer and sell shares of our common stock from time to time through Jefferies, acting as agent. Pursuant to this prospectus, we may offer and sell up to $200,000,000 of our shares of common stock. Sales of our shares of common stock, if any, under this prospectus will be made by any method that is deemed to be an “at the market offering” as defined in Rule 415(a)(4) under the Securities Act.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settlement of sales of shares between us and Jefferies is generally anticipated to occur on the first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certain ongoing disbursements of its legal counsel unless we and Jefferies otherwise agree. We estimate that the total expenses for the offering, excluding any commissions or expense reimbursement payable to Jefferies under the terms of the sales agreement, will be approximately $</w:t>
      </w:r>
      <w:r>
        <w:rPr>
          <w:rFonts w:ascii="Arial;Helvetica;sans-serif" w:hAnsi="Arial;Helvetica;sans-serif"/>
          <w:b w:val="false"/>
          <w:i w:val="false"/>
          <w:caps w:val="false"/>
          <w:smallCaps w:val="false"/>
          <w:color w:val="000000"/>
          <w:spacing w:val="-7"/>
          <w:sz w:val="19"/>
        </w:rPr>
        <w:t>0.3</w:t>
      </w:r>
      <w:r>
        <w:rPr>
          <w:rFonts w:ascii="Arial;Helvetica;sans-serif" w:hAnsi="Arial;Helvetica;sans-serif"/>
          <w:b w:val="false"/>
          <w:i w:val="false"/>
          <w:caps w:val="false"/>
          <w:smallCaps w:val="false"/>
          <w:color w:val="000000"/>
          <w:spacing w:val="-1"/>
          <w:sz w:val="19"/>
        </w:rPr>
        <w:t> million. The remaining sale proceeds, after deducting any other transaction fees, will equal our net proceeds from the sale of such shares.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Jefferies will provide written confirmation to us before the open on The Nasdaq Global Select Market on the day following each day on which shares of common stock are sold under the sales agreement. Each confirmation will include the number of shares sold on that day, the aggregate gross proceeds of such sales and the proceeds to us.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offering of our shares of common stock pursuant to the sales agreement will terminate upon the termination of the sales agreement permitted therein.</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summary of the material provisions of the sales agreement does not purport to be a complete statement of its terms and conditions. A copy of the sales agreement was filed as an exhibit to the registration statement filed on November 14, 2022, and is incorporated by reference in this prospectus supplement.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A prospectus and the accompanying prospectus in electronic format may be made available on a website maintained by Jefferies, and Jefferies may distribute the prospectus and the accompanying prospectus electronically.</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S-13</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LEMA"/>
      <w:bookmarkEnd w:id="11"/>
      <w:r>
        <w:rPr>
          <w:rFonts w:ascii="calibri;arial;sans-serif" w:hAnsi="calibri;arial;sans-serif"/>
          <w:b w:val="false"/>
          <w:i w:val="false"/>
          <w:caps w:val="false"/>
          <w:smallCaps w:val="false"/>
          <w:color w:val="000000"/>
          <w:sz w:val="16"/>
        </w:rPr>
        <w:t>​</w:t>
      </w:r>
      <w:bookmarkStart w:id="12" w:name="s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895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LEGAL MATTERS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Certain legal matters, including the legality of the securities offered, will be passed upon for us by Goodwin Procter LLP, Boston, Massachusetts. Jefferies LLC is being represented in this offering by Cooley LLP, New York, New York.</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EXPERTS</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pPr>
      <w:r>
        <w:rPr>
          <w:rFonts w:ascii="Arial;Helvetica;sans-serif" w:hAnsi="Arial;Helvetica;sans-serif"/>
          <w:b w:val="false"/>
          <w:i w:val="false"/>
          <w:caps w:val="false"/>
          <w:smallCaps w:val="false"/>
          <w:color w:val="000000"/>
          <w:spacing w:val="-1"/>
          <w:sz w:val="19"/>
        </w:rPr>
        <w:t xml:space="preserve">The financial statements of Scholar Rock Holding Corporation as of December 31, 2025 and for the year then ended, incorporated by reference in this Prospectus by reference to Scholar Rock Holding’s </w:t>
      </w:r>
      <w:hyperlink r:id="rId4">
        <w:r>
          <w:rPr>
            <w:rStyle w:val="InternetLink"/>
          </w:rPr>
          <w:t>annual report on Form 10-K for the year ended December 31, 2025</w:t>
        </w:r>
      </w:hyperlink>
      <w:r>
        <w:rPr>
          <w:rFonts w:ascii="Arial;Helvetica;sans-serif" w:hAnsi="Arial;Helvetica;sans-serif"/>
          <w:b w:val="false"/>
          <w:i w:val="false"/>
          <w:caps w:val="false"/>
          <w:smallCaps w:val="false"/>
          <w:color w:val="000000"/>
          <w:spacing w:val="-1"/>
          <w:sz w:val="19"/>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Arial;Helvetica;sans-serif" w:hAnsi="Arial;Helvetica;sans-serif"/>
          <w:b w:val="false"/>
          <w:i w:val="false"/>
          <w:caps w:val="false"/>
          <w:smallCaps w:val="false"/>
          <w:color w:val="000000"/>
          <w:spacing w:val="-7"/>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S-14</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WYCF"/>
      <w:bookmarkEnd w:id="13"/>
      <w:r>
        <w:rPr>
          <w:rFonts w:ascii="calibri;arial;sans-serif" w:hAnsi="calibri;arial;sans-serif"/>
          <w:b w:val="false"/>
          <w:i w:val="false"/>
          <w:caps w:val="false"/>
          <w:smallCaps w:val="false"/>
          <w:color w:val="000000"/>
          <w:sz w:val="16"/>
        </w:rPr>
        <w:t>​</w:t>
      </w:r>
      <w:bookmarkStart w:id="14" w:name="sI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WHERE YOU CAN FIND MORE INFORMATION</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(EDGAR), via electronic means, including the SEC’s home page on the Internet (</w:t>
      </w:r>
      <w:r>
        <w:rPr>
          <w:rFonts w:ascii="Arial;Helvetica;sans-serif" w:hAnsi="Arial;Helvetica;sans-serif"/>
          <w:b w:val="false"/>
          <w:i/>
          <w:caps w:val="false"/>
          <w:smallCaps w:val="false"/>
          <w:color w:val="000000"/>
          <w:sz w:val="19"/>
        </w:rPr>
        <w:t>www.sec.gov</w:t>
      </w:r>
      <w:r>
        <w:rPr>
          <w:rFonts w:ascii="Arial;Helvetica;sans-serif" w:hAnsi="Arial;Helvetica;sans-serif"/>
          <w:b w:val="false"/>
          <w:i w:val="false"/>
          <w:caps w:val="false"/>
          <w:smallCaps w:val="false"/>
          <w:color w:val="000000"/>
          <w:spacing w:val="-1"/>
          <w:sz w:val="19"/>
        </w:rPr>
        <w:t>). You may also inspect the registration statement and this prospectus on this website.</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We have the authority to designate and issue more than one class or series of stock having various preferences, conversion and other rights, voting powers, restrictions, limitations as to dividends, qualifications, and terms and conditions of redemption.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Investor Relations, Scholar Rock Holding Corporation, 301 Binney Street, Cambridge, MA 02142. Our website is located at </w:t>
      </w:r>
      <w:r>
        <w:rPr>
          <w:rFonts w:ascii="Arial;Helvetica;sans-serif" w:hAnsi="Arial;Helvetica;sans-serif"/>
          <w:b w:val="false"/>
          <w:i/>
          <w:caps w:val="false"/>
          <w:smallCaps w:val="false"/>
          <w:color w:val="000000"/>
          <w:sz w:val="19"/>
        </w:rPr>
        <w:t>www.scholarrock.com</w:t>
      </w:r>
      <w:r>
        <w:rPr>
          <w:rFonts w:ascii="Arial;Helvetica;sans-serif" w:hAnsi="Arial;Helvetica;sans-serif"/>
          <w:b w:val="false"/>
          <w:i w:val="false"/>
          <w:caps w:val="false"/>
          <w:smallCaps w:val="false"/>
          <w:color w:val="000000"/>
          <w:spacing w:val="-1"/>
          <w:sz w:val="19"/>
        </w:rPr>
        <w:t>. Information contained on our website is not incorporated by reference into this prospectus, and, except for the documents incorporated by reference as noted below, you should not consider any information on, or that can be accessed from, our website as part of this prospectus or any accompanying prospectus supplement.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INCORPORATION OF CERTAIN INFORMATION BY REFERENCE</w:t>
      </w:r>
      <w:r>
        <w:rPr>
          <w:rFonts w:ascii="Arial Narrow;Helvetica;sans-serif" w:hAnsi="Arial Narrow;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after the date of this prospectus and prior to the termination of this offering:</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84" w:after="0"/>
        <w:ind w:left="2033" w:right="0" w:hanging="0"/>
        <w:jc w:val="left"/>
        <w:rPr/>
      </w:pPr>
      <w:hyperlink r:id="rId5">
        <w:r>
          <w:rPr>
            <w:rStyle w:val="InternetLink"/>
            <w:rFonts w:ascii="Arial;Helvetica;sans-serif" w:hAnsi="Arial;Helvetica;sans-serif"/>
            <w:b w:val="false"/>
            <w:i w:val="false"/>
            <w:caps w:val="false"/>
            <w:smallCaps w:val="false"/>
            <w:color w:val="000000"/>
            <w:spacing w:val="-1"/>
            <w:sz w:val="19"/>
          </w:rPr>
          <w:t>our Annual Report on Form 10-K for the year ended December 31, 2025, filed with the SEC on March 3, 2026;</w:t>
        </w:r>
      </w:hyperlink>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53">
                <wp:simplePos x="0" y="0"/>
                <wp:positionH relativeFrom="column">
                  <wp:align>left</wp:align>
                </wp:positionH>
                <wp:positionV relativeFrom="line">
                  <wp:posOffset>635</wp:posOffset>
                </wp:positionV>
                <wp:extent cx="152400" cy="14605"/>
                <wp:effectExtent l="0" t="0" r="0" b="0"/>
                <wp:wrapSquare wrapText="right"/>
                <wp:docPr id="51" name="Frame50"/>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spacing w:val="-1"/>
                              </w:rPr>
                            </w:pPr>
                            <w:r>
                              <w:rPr>
                                <w:spacing w:val="-7"/>
                              </w:rPr>
                              <w:t>▪</w:t>
                            </w:r>
                            <w:r>
                              <w:rPr>
                                <w:spacing w:val="-1"/>
                              </w:rPr>
                              <w:t xml:space="preserve"> </w:t>
                            </w:r>
                            <w:r>
                              <w:rPr>
                                <w:spacing w:val="-1"/>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pacing w:val="-1"/>
                        </w:rPr>
                      </w:pPr>
                      <w:r>
                        <w:rPr>
                          <w:spacing w:val="-7"/>
                        </w:rPr>
                        <w:t>▪</w:t>
                      </w:r>
                      <w:r>
                        <w:rPr>
                          <w:spacing w:val="-1"/>
                        </w:rPr>
                        <w:t xml:space="preserve"> </w:t>
                      </w:r>
                      <w:r>
                        <w:rPr>
                          <w:spacing w:val="-1"/>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033" w:right="0" w:hanging="0"/>
        <w:jc w:val="left"/>
        <w:rPr/>
      </w:pPr>
      <w:r>
        <w:rPr>
          <w:rFonts w:ascii="Arial;Helvetica;sans-serif" w:hAnsi="Arial;Helvetica;sans-serif"/>
          <w:b w:val="false"/>
          <w:i w:val="false"/>
          <w:caps w:val="false"/>
          <w:smallCaps w:val="false"/>
          <w:color w:val="000000"/>
          <w:spacing w:val="-1"/>
          <w:sz w:val="19"/>
        </w:rPr>
        <w:t xml:space="preserve">our Quarterly Reports on Form 10-Q for the quarters ended March 31, 2026 and June 30, 2026 filed with the SEC on </w:t>
      </w:r>
      <w:hyperlink r:id="rId6">
        <w:r>
          <w:rPr>
            <w:rStyle w:val="InternetLink"/>
          </w:rPr>
          <w:t>May 7, 2026</w:t>
        </w:r>
      </w:hyperlink>
      <w:r>
        <w:rPr>
          <w:rFonts w:ascii="Arial;Helvetica;sans-serif" w:hAnsi="Arial;Helvetica;sans-serif"/>
          <w:b w:val="false"/>
          <w:i w:val="false"/>
          <w:caps w:val="false"/>
          <w:smallCaps w:val="false"/>
          <w:color w:val="000000"/>
          <w:spacing w:val="-1"/>
          <w:sz w:val="19"/>
        </w:rPr>
        <w:t xml:space="preserve"> and </w:t>
      </w:r>
      <w:hyperlink r:id="rId7">
        <w:r>
          <w:rPr>
            <w:rStyle w:val="InternetLink"/>
          </w:rPr>
          <w:t>August 6, 2026</w:t>
        </w:r>
      </w:hyperlink>
      <w:r>
        <w:rPr>
          <w:rFonts w:ascii="Arial;Helvetica;sans-serif" w:hAnsi="Arial;Helvetica;sans-serif"/>
          <w:b w:val="false"/>
          <w:i w:val="false"/>
          <w:caps w:val="false"/>
          <w:smallCaps w:val="false"/>
          <w:color w:val="000000"/>
          <w:spacing w:val="-1"/>
          <w:sz w:val="19"/>
        </w:rPr>
        <w:t>, respectively;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54">
                <wp:simplePos x="0" y="0"/>
                <wp:positionH relativeFrom="column">
                  <wp:align>left</wp:align>
                </wp:positionH>
                <wp:positionV relativeFrom="line">
                  <wp:posOffset>635</wp:posOffset>
                </wp:positionV>
                <wp:extent cx="152400" cy="14605"/>
                <wp:effectExtent l="0" t="0" r="0" b="0"/>
                <wp:wrapSquare wrapText="right"/>
                <wp:docPr id="52" name="Frame51"/>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033" w:right="0" w:hanging="0"/>
        <w:jc w:val="left"/>
        <w:rPr/>
      </w:pPr>
      <w:r>
        <w:rPr>
          <w:rFonts w:ascii="Arial;Helvetica;sans-serif" w:hAnsi="Arial;Helvetica;sans-serif"/>
          <w:b w:val="false"/>
          <w:i w:val="false"/>
          <w:caps w:val="false"/>
          <w:smallCaps w:val="false"/>
          <w:color w:val="000000"/>
          <w:spacing w:val="-1"/>
          <w:sz w:val="19"/>
        </w:rPr>
        <w:t xml:space="preserve">our Current Reports on Form 8-K (other than information furnished rather than filed) filed with the SEC on </w:t>
      </w:r>
      <w:hyperlink r:id="rId8">
        <w:r>
          <w:rPr>
            <w:rStyle w:val="InternetLink"/>
          </w:rPr>
          <w:t>March 31, 2026</w:t>
        </w:r>
      </w:hyperlink>
      <w:r>
        <w:rPr>
          <w:rFonts w:ascii="Arial;Helvetica;sans-serif" w:hAnsi="Arial;Helvetica;sans-serif"/>
          <w:b w:val="false"/>
          <w:i w:val="false"/>
          <w:caps w:val="false"/>
          <w:smallCaps w:val="false"/>
          <w:color w:val="000000"/>
          <w:spacing w:val="-1"/>
          <w:sz w:val="19"/>
        </w:rPr>
        <w:t xml:space="preserve">, and </w:t>
      </w:r>
      <w:hyperlink r:id="rId9">
        <w:r>
          <w:rPr>
            <w:rStyle w:val="InternetLink"/>
          </w:rPr>
          <w:t>June 5, 2026</w:t>
        </w:r>
      </w:hyperlink>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55">
                <wp:simplePos x="0" y="0"/>
                <wp:positionH relativeFrom="column">
                  <wp:align>left</wp:align>
                </wp:positionH>
                <wp:positionV relativeFrom="line">
                  <wp:posOffset>635</wp:posOffset>
                </wp:positionV>
                <wp:extent cx="152400" cy="14605"/>
                <wp:effectExtent l="0" t="0" r="0" b="0"/>
                <wp:wrapSquare wrapText="right"/>
                <wp:docPr id="53" name="Frame52"/>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033" w:right="0" w:hanging="0"/>
        <w:jc w:val="left"/>
        <w:rPr/>
      </w:pPr>
      <w:hyperlink r:id="rId10">
        <w:r>
          <w:rPr>
            <w:rStyle w:val="InternetLink"/>
          </w:rPr>
          <w:t>our Definitive Proxy Statement on Schedule 14A (other than information furnished rather than filed), filed with the SEC on April 22, 2026</w:t>
        </w:r>
      </w:hyperlink>
      <w:r>
        <w:rPr>
          <w:rFonts w:ascii="Arial;Helvetica;sans-serif" w:hAnsi="Arial;Helvetica;sans-serif"/>
          <w:b w:val="false"/>
          <w:i w:val="false"/>
          <w:caps w:val="false"/>
          <w:smallCaps w:val="false"/>
          <w:color w:val="000000"/>
          <w:spacing w:val="-1"/>
          <w:sz w:val="19"/>
        </w:rPr>
        <w:t>;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56">
                <wp:simplePos x="0" y="0"/>
                <wp:positionH relativeFrom="column">
                  <wp:align>left</wp:align>
                </wp:positionH>
                <wp:positionV relativeFrom="line">
                  <wp:posOffset>635</wp:posOffset>
                </wp:positionV>
                <wp:extent cx="152400" cy="14605"/>
                <wp:effectExtent l="0" t="0" r="0" b="0"/>
                <wp:wrapSquare wrapText="right"/>
                <wp:docPr id="54" name="Frame53"/>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033" w:right="0" w:hanging="0"/>
        <w:jc w:val="left"/>
        <w:rPr/>
      </w:pPr>
      <w:r>
        <w:rPr>
          <w:rFonts w:ascii="Arial;Helvetica;sans-serif" w:hAnsi="Arial;Helvetica;sans-serif"/>
          <w:b w:val="false"/>
          <w:i w:val="false"/>
          <w:caps w:val="false"/>
          <w:smallCaps w:val="false"/>
          <w:color w:val="000000"/>
          <w:spacing w:val="-1"/>
          <w:sz w:val="19"/>
        </w:rPr>
        <w:t xml:space="preserve">the description of our common stock contained in our registration statement on </w:t>
      </w:r>
      <w:hyperlink r:id="rId11">
        <w:r>
          <w:rPr>
            <w:rStyle w:val="InternetLink"/>
          </w:rPr>
          <w:t>Form 8-A filed with the SEC on May 21, 2018</w:t>
        </w:r>
      </w:hyperlink>
      <w:r>
        <w:rPr>
          <w:rFonts w:ascii="Arial;Helvetica;sans-serif" w:hAnsi="Arial;Helvetica;sans-serif"/>
          <w:b w:val="false"/>
          <w:i w:val="false"/>
          <w:caps w:val="false"/>
          <w:smallCaps w:val="false"/>
          <w:color w:val="000000"/>
          <w:spacing w:val="-1"/>
          <w:sz w:val="19"/>
        </w:rPr>
        <w:t>, including any amendments or reports filed for the purposes of updating this description.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57">
                <wp:simplePos x="0" y="0"/>
                <wp:positionH relativeFrom="column">
                  <wp:align>left</wp:align>
                </wp:positionH>
                <wp:positionV relativeFrom="line">
                  <wp:posOffset>635</wp:posOffset>
                </wp:positionV>
                <wp:extent cx="152400" cy="14605"/>
                <wp:effectExtent l="0" t="0" r="0" b="0"/>
                <wp:wrapSquare wrapText="right"/>
                <wp:docPr id="55" name="Frame54"/>
                <a:graphic xmlns:a="http://schemas.openxmlformats.org/drawingml/2006/main">
                  <a:graphicData uri="http://schemas.microsoft.com/office/word/2010/wordprocessingShape">
                    <wps:wsp>
                      <wps:cNvSpPr txBox="1"/>
                      <wps:spPr>
                        <a:xfrm>
                          <a:off x="0" y="0"/>
                          <a:ext cx="152400" cy="14605"/>
                        </a:xfrm>
                        <a:prstGeom prst="rect"/>
                        <a:solidFill>
                          <a:srgbClr val="FFFFFF"/>
                        </a:solidFill>
                      </wps:spPr>
                      <wps:txbx>
                        <w:txbxContent>
                          <w:p>
                            <w:pPr>
                              <w:pStyle w:val="TextBody"/>
                              <w:bidi w:val="0"/>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1.15pt;mso-wrap-distance-left:20pt;mso-wrap-distance-right:0pt;mso-wrap-distance-top:4.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Pursuant to Rule 412 under the Securities Act,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S-15</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bidi w:val="0"/>
        <w:spacing w:lineRule="atLeast" w:line="240" w:before="120" w:after="8730"/>
        <w:ind w:left="13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We have specifically incorporated by reference as an exhibit in this prospectus, at no cost by writing us at the following address: Investor Relations, Scholar Rock Holding Corporation, 301 Binney Street, Cambridge, MA 02142. Our website is located at </w:t>
      </w:r>
      <w:r>
        <w:rPr>
          <w:rFonts w:ascii="Arial;Helvetica;sans-serif" w:hAnsi="Arial;Helvetica;sans-serif"/>
          <w:b w:val="false"/>
          <w:i/>
          <w:caps w:val="false"/>
          <w:smallCaps w:val="false"/>
          <w:color w:val="000000"/>
          <w:sz w:val="19"/>
        </w:rPr>
        <w:t>www.scholarrock.com</w:t>
      </w:r>
      <w:r>
        <w:rPr>
          <w:rFonts w:ascii="Arial;Helvetica;sans-serif" w:hAnsi="Arial;Helvetica;sans-serif"/>
          <w:b w:val="false"/>
          <w:i w:val="false"/>
          <w:caps w:val="false"/>
          <w:smallCaps w:val="false"/>
          <w:color w:val="000000"/>
          <w:spacing w:val="-1"/>
          <w:sz w:val="19"/>
        </w:rPr>
        <w:t>. The reference to our website is intended to be an inactive textual reference and, except for the documents incorporated by reference as noted above, the information on, or accessible through, our website is not intended to be part of this prospectus.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You should rely only on the information incorporated by reference or provided in this prospectus and the accompanying prospectus. We have not authorized anyone else to provide you with different information. You should not assume that the information in this prospectus or in the documents incorporated by reference is accurate as of any date other than the date on the front of this prospectus or those documents.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We advise that there have been no material changes in our affairs that have occurred since the end of the latest fiscal period for which audited financial statements were included in the latest Form 10-K and that have not been described in a Form 10-Q or Form 8-K filed under the Exchange Act.</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This prospectus is part of a registration statement we filed with the SEC. We have incorporated exhibits into this registration statement. You should read the exhibits carefully for provisions that may be important to you.</w:t>
      </w:r>
      <w:r>
        <w:rPr>
          <w:rFonts w:ascii="Arial;Helvetica;sans-serif" w:hAnsi="Arial;Helvetica;sans-serif"/>
          <w:b w:val="false"/>
          <w:i w:val="false"/>
          <w:caps w:val="false"/>
          <w:smallCaps w:val="false"/>
          <w:color w:val="000000"/>
          <w:sz w:val="19"/>
        </w:rPr>
        <w:t xml:space="preserve"> </w:t>
      </w:r>
    </w:p>
    <w:p>
      <w:pPr>
        <w:pStyle w:val="TextBody"/>
        <w:bidi w:val="0"/>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bidi w:val="0"/>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S-16</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847975" cy="49530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12"/>
                    <a:stretch>
                      <a:fillRect/>
                    </a:stretch>
                  </pic:blipFill>
                  <pic:spPr bwMode="auto">
                    <a:xfrm>
                      <a:off x="0" y="0"/>
                      <a:ext cx="284797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selling stockholders may from time to time issue, in one or more series or classes, our common stock, preferred stock, debt securities, warrants and/or units. We and/or selling stockholders may offer these securities separately or together in units. We and/or selling stockholders will specify in the accompanying prospectus supplement the terms of the securities being offered. We and/or selling stockholders may sell these securities to or through underwriters and also to other purchasers or through agents. We and/or selling stockholders will set forth the names of any underwriters or agents, and any fees, conversions, or discount arrangements, in the accompanying prospectus supplement. We and/or selling stockholders may not sell any securities under this prospectus without delivery of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document and any prospectus supplement or amendment carefully before you invest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“SRRK.” On October 4, 2024, the closing price for our common stock, as reported on The Nasdaq Global Select Market, was $7.42 per share. Our principal executive offices are located at 301 Binney Street, 3rd Floor, Cambridge, MA 02142.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a high degree of risk. You should review carefully the risks and uncertainties described under the heading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contained in this prospectus beginning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and any applicable prospectus supplement, and under similar headings in the other documents that are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October 7,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2"/>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314" w:type="dxa"/>
        <w:jc w:val="left"/>
        <w:tblInd w:w="1393" w:type="dxa"/>
        <w:tblLayout w:type="fixed"/>
        <w:tblCellMar>
          <w:top w:w="0" w:type="dxa"/>
          <w:left w:w="0" w:type="dxa"/>
          <w:bottom w:w="28" w:type="dxa"/>
          <w:right w:w="0" w:type="dxa"/>
        </w:tblCellMar>
      </w:tblPr>
      <w:tblGrid>
        <w:gridCol w:w="7205"/>
        <w:gridCol w:w="109"/>
        <w:gridCol w:w="109"/>
        <w:gridCol w:w="109"/>
        <w:gridCol w:w="109"/>
        <w:gridCol w:w="410"/>
        <w:gridCol w:w="109"/>
        <w:gridCol w:w="154"/>
      </w:tblGrid>
      <w:tr>
        <w:trPr/>
        <w:tc>
          <w:tcPr>
            <w:tcW w:w="72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3</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THCO">
              <w:r>
                <w:rPr>
                  <w:rStyle w:val="InternetLink"/>
                  <w:spacing w:val="4"/>
                </w:rPr>
                <w:t>5</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UOPF">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F">
              <w:r>
                <w:rPr>
                  <w:rStyle w:val="InternetLink"/>
                  <w:spacing w:val="4"/>
                </w:rPr>
                <w:t>8</w:t>
              </w:r>
            </w:hyperlink>
            <w:hyperlink w:anchor="tUOP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SWMO">
              <w:r>
                <w:rPr>
                  <w:rStyle w:val="InternetLink"/>
                  <w:spacing w:val="4"/>
                </w:rPr>
                <w:t xml:space="preserve">Securities We May Offer and/or Selling Stockholders May Offer Or Sell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WMO">
              <w:r>
                <w:rPr>
                  <w:rStyle w:val="InternetLink"/>
                  <w:spacing w:val="4"/>
                </w:rPr>
                <w:t>9</w:t>
              </w:r>
            </w:hyperlink>
            <w:hyperlink w:anchor="t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10</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20</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34</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U">
              <w:r>
                <w:rPr>
                  <w:rStyle w:val="InternetLink"/>
                  <w:spacing w:val="4"/>
                </w:rPr>
                <w:t>36</w:t>
              </w:r>
            </w:hyperlink>
            <w:hyperlink w:anchor="t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39</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42</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42</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05"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42</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05"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an automatic registration statement on Form S-3 that we filed with the Securities and Exchange Commission, or the SEC, as a “well-known seasoned issuer” as defined in Rule 405 under the Securities Act of 1933, as amended, or the Securities Act, using a “shelf” registration process. Under this shelf registration process, we and/or selling stockholders may from time to time sell any combination of the securities described in this prospectus in one or more offerings.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and/or selling stockholders may offer.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hyperlink w:anchor="tWYCF">
        <w:r>
          <w:rPr>
            <w:rStyle w:val="InternetLink"/>
          </w:rPr>
          <w:t>42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or the accompanying prospectus supplement to “Scholar Rock”, “we”, “our”, “us” and “the Company” refer, collectively, to Scholar Rock Holding Corporation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own various U.S. federal trademark applications and unregistered trademarks, including “Scholar Rock” and our corporate logo. All other trademarks or trade names referred to in this prospectus are the property of their respective owners. Solely for convenience, the trademarks and trade names in this prospectus are referred to without the symbols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RIF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consider the risks described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our Annual Report on </w:t>
      </w:r>
      <w:hyperlink r:id="rId13">
        <w:r>
          <w:rPr>
            <w:rStyle w:val="InternetLink"/>
          </w:rPr>
          <w:t>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which is on file with the SEC and is incorporated herein by reference, and our subsequent Quarterly Reports on </w:t>
      </w:r>
      <w:hyperlink r:id="rId14">
        <w:r>
          <w:rPr>
            <w:rStyle w:val="InternetLink"/>
          </w:rPr>
          <w:t>Form 10-Q for the quarters ended March 31, 2024</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June 30, 2024</w:t>
        </w:r>
      </w:hyperlink>
      <w:r>
        <w:rPr>
          <w:rFonts w:ascii="Times New Roman;Times;serif" w:hAnsi="Times New Roman;Times;serif"/>
          <w:b w:val="false"/>
          <w:i w:val="false"/>
          <w:caps w:val="false"/>
          <w:smallCaps w:val="false"/>
          <w:color w:val="000000"/>
          <w:spacing w:val="4"/>
          <w:sz w:val="20"/>
        </w:rPr>
        <w:t xml:space="preserve">, which are on file with the SEC and incorporated herein by reference, and other documents we file with the SEC that are deemed incorporated by reference into this prospectus. See “Where You Can Find More Information” for information about how to obtain a copy of these documents. The risks and uncertainties described in the documents we incorporate by reference are not the only ones we face. Additional risks and uncertainties not presently known to us or that we currently deem immaterial may also impair our business operations. If any of these risks or uncertainties actually occur, they could materially and adversely affect our business, financial condition, results of operations, cash flows or prospects, which in turn could materially and adversely affect the price of our securities and might cause you to lose all or part of your investment in the offered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SR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clinical trials for apitegromab (such as our Phase 2 EMBRAZE clinical trial) and SRK-181, including the progress, completion, timing of results, and actual results of our clinical trials;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scope, or likelihood of our ability to obtain and maintain regulatory approval from the U.S. Food and Drug Administration (“FDA”), the European Commission (“EC”) and other regulatory authorities for apitegromab following completion of our Phase 3 SAPPHIRE clinical trial, and any related restrictions, limitations or warnings in the label of any approval for apitegromab;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identifying and executing a development program for our preclinical product candidates, including SRK-439 and identifying additional product candidates from our preclinical programs and research pipeline;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identifying and executing development programs for additional indications for apitegromab and SRK-181;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clinical utility of our product candidates and their potential advantages over other therapeutic options;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generally or on terms acceptable to us, funding for our operations, including funding necessary to complete further development and, upon successful development, if approved, commercialization of apitegromab, SRK-181, SRK-439 or any of our future product candidates;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our executives and highly skilled technical and managerial personnel, which could be affected due to any transition in management, or if we fail to recruit additional highly skilled personnel;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ability to obtain and maintain intellectual property protection for our product candidates and the duration of such protection and our ability to operate our business without infringing on the intellectual property rights of others;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through third party manufacturers, to successfully manufacture our product candidates for clinical trials and for commercial use, if approved;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build a commercial infrastructure to launch and market apitegromab, or otherwise provide access to apitegromab, if and when it is approved or receives pricing or reimbursement approval;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or maintain collaborations or strategic relationships;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the potential of our proprietary platform technology;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potential of the markets for our product candidates, and our ability to serve those markets, either alone or in combination with others;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new laws and regulations or amendments to existing laws and regulations in the United States and foreign countries;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the impact of global economic and political developments on our business, including rising inflation and capital market disruptions, economic sanctions and economic slowdowns or recessions or public health pandemics;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projections relating to our competitors and our industry;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and expectations regarding cash, cash reserves, and expense levels, future revenues, capital requirements and needs for additional financing, including our expected use of proceeds from our public offerings, and liquidity sources;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ability to continue as a going concern;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and expectations regarding cash and expense levels, future revenues, capital requirements and needs for additional financing, including our expected use of proceeds from our public offerings, and liquidity sources;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period during which we qualify as a “smaller reporting company” as defined by Rule 12b-2 of the Exchange Act; and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listed under the caption “Risk Factors.”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included important factors in the cautionary statements included in this prospectus and the documents we incorporate by reference herein, particularly in the “Risk Factors” sections of these documents,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THC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late-stage biopharmaceutical company focused on the discovery, development, and delivery of innovative medicines for the treatment of serious diseases in which signaling by protein growth factors plays a fundamental role. As a global leader in transforming growth factor beta (‘‘TGFβ”) superfamily biology, our novel understanding of the molecular mechanisms of growth factor activation enabled us to develop a proprietary platform for the discovery and development of monoclonal antibodies that locally and selectively target the precursor, or latent, forms of growth factors. By targeting the signaling proteins at the cellular level and acting in the disease microenvironment, we believe we may avoid the historical dose-limiting safety challenges associated with inhibiting growth factors for therapeutic effect. We believe our focus on biologically validated growth factors may facilitate a more efficient development path.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proprietary and scalable technology platform, we are building a growing portfolio of novel product candidates with the aim of transforming the lives of patients suffering from a wide range of serious diseases, including neuromuscular disorders, cardiometabolic disorders, cancer, fibrosis and iron-restricted anemia. We have discovered and progressed the development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Apitegromab, an investigational, fully human monoclonal antibody that inhibits myostatin activation by selectively binding the pro- and latent forms of myostatin in skeletal muscle and is being developed for the treatment of Spinal Muscular Atrophy (‘‘SMA”). We also believe apitegromab could have potential in the treatment of other neuromuscular disorders where the inhibition of myostatin may be beneficial.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SRK-439, a novel, preclinical, investigational myostatin inhibitor that has high in vitro affinity for pro- and latent myostatin and maintains myostatin specificity and is being developed for the treatment of cardiometabolic disorders.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SRK-181, an inhibitor of the activation of latent transforming growth factor beta 1 (‘‘TGFβ1”), that is being developed for the treatment of cancers that are resistant to anti-PD-(L)1 antibody therapies.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 and selective inhibitors of the activation of TGFβ for the treatment of fibrotic diseases. We are advancing multiple antibody profiles toward product candidate selection including antibodies that selectively inhibit the activation of latent TGFβ1 in the context of fibrotic extracellular matrix and that avoid perturbing TGFβ1 presented by cells of the immune system.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discovery and early preclinical programs related to the selective modulation of growth factor signaling including bone morphogenic protein 6 and other growth factors.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first product candidate, apitegromab, is a highly selective, fully human, monoclonal antibody with a unique mechanism of action that results in inhibition of the activation of the growth factor, myostatin, in skeletal muscle. Apitegromab is being developed as a potential first muscle-targeted therapy for the treatment of SMA. We are conducting SAPPHIRE, a pivotal Phase 3 clinical trial to evaluate the efficacy and safety of apitegromab in patients with nonambulatory Type 2 and Type 3 SMA (which is estimated to represent the majority of the current prevalent SMA patient population in the U.S. and Europe). We completed enrollment of SAPPHIRE in 2023. We announced top-line data from SAPPHIRE on October 7, 2024. If apitegromab is approved, we expect to initiate a commercial product launch in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Apitegromab was evaluated in our Phase 2 TOPAZ proof-of-concept clinical trial for the treatment of patients with Type 2 and Type 3 SMA. Positive 12-month top-line results were initially announced in April 2021. We have subsequently presented data from the TOPAZ trial over 24-months (2022), 36-months (2023) and 48-months (2024). At 48-months over 90% of TOPAZ patients with nonambulatory Type 2 and 3 SMA receiving an SMN therapy remained on apitegromab treatment and showed sustained clinical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a continued favorable safety profile with no new safety findings. Additionally, we have a long-term extension study, ONYX, for patients from both the TOPAZ and SAPPHIRE studies, who are receiving apitegromab in conjunction with an approved SMN therapy. The FDA granted Fast Track designation, Rare Pediatric Disease designation and Orphan Drug designation to apitegromab for the treatment of SMA in May 2021, August 2020 and March 2018, respectively. The European Medicines Agency (‘‘EMA”) granted Priority Medicines designation in March 2021 and the EC granted Orphan Medicinal Product designation in December 2018 to apitegromab for the treatment of 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2023, we announced an expansion of our therapeutic focus into cardiometabolic disorders by advancing our anti-myostatin program with SRK-439, a novel, fully human anti-myostatin monoclonal antibody, for evaluation in cardiometabolic disorders, including obesity. We are developing SRK-439 towards a potential Investigational New Drug (‘‘IND”) submission in 2025. In June 2024, new preclinical data that support the potential of SRK-439 to increase lean mass and contribute to a favorable body composition following withdrawal from GLP-1 RA treatment were presented at the American Diabetes Association’s 84th Scientific Sessions. To inform the development of SRK-439, in May 2024 we initiated the Phase 2 EMBRAZE proof-of-concept trial, designed to assess the safety and efficacy of apitegromab to preserve muscle mass in individuals living with obesity and on background therapy of a GLP-1 RA. In September 2024, we announced that we completed enrollment in the Phase 2 EMBRAZE proof-of-concept trial. Results from this trial are expected in the second quarter of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apitegromab has the potential to be the first muscle-targeted therapy which is aimed at improving motor function in patients with SMA who are receiving an SMN therapy. We have identified multiple other diseases for which the selective inhibition of the activation of myostatin may offer therapeutic benefit, including additional patient populations in SMA (such as patients under the age of two with SMA and ambulatory patients with SMA) and indications for other neuromuscular disorders beyond 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product candidate, SRK-181, a highly selective inhibitor of the activation of latent TGFβ, is being developed for the treatment of cancers that are resistant to checkpoint inhibitor therapies, such as anti-PD-1 or anti-PD-L1 antibody therapies (referred to together as anti-PD-(L)1 antibody therapies). SRK-181 is being evaluated in our Phase 1 DRAGON proof-of-concept clinical trial in patients with locally advanced or metastatic solid tumors that exhibit resistance to anti-PD-(L)1 antibody therapies. We completed enrollment of the DRAGON trial in December 2023 and continue to treat patients who remain on study. This two-part clinical trial consists of a dose escalation portion (Part A) and a dose expansion portion evaluating SRK-181 in combination with an approved anti-PD-(L)1 antibody therapy (Part B). Part B commenced in 2021 and includes the following active cohorts: urothelial carcinoma, cutaneous melanoma, non-small cell lung cancer, clear cell renal cell carcinoma (“ccRCC”), and head and neck squamous cell carcinoma. Safety, efficacy and biomarker data were presented in November 2023 at the Society for Immunotherapy of Cancer 38th Annual Meeting and in June 2024 at the ASCO annual meeting. The data showed encouraging responses in heavily pretreated and anti-PD-(L)1 resistant patients across multiple tumor types. We believe that the DRAGON trial achieved its study objectives by showing objective, durable clinical responses in patients with ccRCC resistant to PD-1 therapy above what is expected from continuing PD-1 alone. We anticipate that emerging data from the DRAGON trial will be presented at medical meetings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our innovative approach and proprietary platform, we are creating a pipeline of novel product candidates that selectively modulate the activation of growth factors implicated in a variety of serious diseases, including neuromuscular disorders, cardiometabolic disorders, cancer, fibrosis, and iron-restricted anemia. Our proprietary platform is designed to generate highly selective antibodies that target the growth factor’s latent precursor form prior to its activation within the disease microenvironment, or tissue where it is localized. Our structural insights and unique antibody discovery capabilities can also be applied to other protein classes beyond growth factors, with an aim of generating differentiated candidates targeting cell surface receptors such as immune cell receptors or G-protein coupled receptors, where selectivity remains challenging.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inception, we have incurred significant operating losses. Our net losses were $115.4 million for the six months ended June 30, 2024. As of June 30, 2024, we had an accumulated deficit of $791.8 million. We expect to continue to incur significant expenses and operating losses for the foreseeable future in performing our ongoing activities, as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development activities for apitegromab, including the conduct of our Phase 3 SAPPHIRE pivotal clinical trial in SMA, ONYX, our long-term extension study for patients from both the TOPAZ and SAPPHIRE studies and the associated drug supply;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research and development activities for SRK-181, including the conduct of our Phase 1 DRAGON proof-of-concept clinical trial;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research and development activities for our cardiometabolic program, including EMBRAZE, our Phase 2 proof-of-concept trial with apitegromab and advancing SRK-439 towards a potential IND submission in 2025;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discover, validate and develop additional product candidates through the use of our proprietary platform;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expand and protect our intellectual property portfolio;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 additional research, development, commercial and other business personnel; and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build the infrastructure to support our operations as a public company.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we have not generated any revenue from product sales. If we successfully complete clinical development and obtain regulatory approval for apitegromab, SRK-181, SRK-439 or any of our future product candidates, we may generate revenue in the future from product sales. In addition, if we obtain regulatory approval for apitegromab, SRK-181, SRK-439 or any of our future product candidates, we expect to incur significant expenses related to developing our commercialization capabilities to support product sales, marketing and distribution activities. Based on current operating plans and excluding any contribution from revenues or external financing, we may not have sufficient cash, cash equivalents and marketable securities to fund our operating expenses and capital requirements beyond one year from the date of this filing, and therefore, we have concluded that there is substantial doubt about our ability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incorporated in 2017 under the laws of the State of Delaware as the holding company for Scholar Rock, Inc. Scholar Rock, Inc. is a wholly owned subsidiary of Scholar Rock Holding Corporation. On December 22, 2017, we completed a series of transactions pursuant to which Scholar Rock Merger Sub, LLC, a wholly owned subsidiary of Scholar Rock Holding Corporation, was merged with and into Scholar Rock, LLC, or the Reorganization. The purpose of the Reorganization was to reorganize our corporate structure so that we would continue as a corporation and so that our investors prior to the Reorganization would own our capital stock after the Reorganization rather than equity interests in a limited liability company. All of our convertible preferred stock converted into shares of common stock upon the completion of our initial public offering at the then effective conversion ratio. Our operations to date have been limited to organizing and staffing our company, business planning, raising capital, developing our technology, identifying potential product candidates, producing drug substance and drug product material for use in preclinical studies and clinical trials, conducting preclinical studies of our product candidates and conducting clinical trials for our product candidates, apitegromab (formerly SRK-015) and SRK-181, and preparing our commercialization capabilities in anticipation of a potential approval and commercial launch of apitegromab. We do not have any products approved for sale and have not generated any product revenue to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301 Binney Street, Cambridge, MA 02142, and our phone number is (857) 259-3860. Our website address is www.scholarrock.com. The information contained on our website or social media accounts, or that can be accessed through our website or social media accounts, is not a part of this prospectus and is not incorporated by reference into this prospectus. You should not rely on any such information in deciding whether to purchase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UOP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described in the applicable prospectus supplement, we intend to use the net proceeds from the sale of any securities described in this prospectus for general corporate purposes. General corporate purposes may include research and development and commercialization costs, including the conduct of clinical trials and process development and manufacturing of our product candidates, preparing our commercialization capabilities for potential approval and commercial launch of our product candidates, services or technologies, expansion of our technology infrastructure and capabilities, working capital and capital expenditures.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investment grade, interest bearing instruments and U.S. government securities, or we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SWM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WE MAY OFFER AND/OR SELLING STOCKHOLDERS MAY OFFER OR SELL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securities we and/or selling stockholders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C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is intended as a summary only, does not purport to be complete and is subject to, and qualified in its entirety by, our Amended and Restated Certificate of Incorporation, as amended to date, and our Amended and Restated Bylaws, which are exhibits to the registration statement of which this prospectus forms a part, and by applicable law. We refer in this section to our Amended and Restated Certificate of Incorporation, as amended to date, as our “certificate of incorporation,” and we refer to our Amended and Restated Bylaws as our “bylaws.” The terms of our common stock and preferred stock may also be affected by Delaware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300,000,000 shares of common stock, par value $0.001 per share, and 10,000,000 shares of preferred stock, par value $0.001 per share, all of which preferred stock is undesignated.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79,992,068 shares of our common stock were outstanding and held by approximately 7 stockholders of record. In addition, as of June 30, 2024, we had outstanding options to purchase 9,167,552 shares of our common stock, at a weighted average exercise price of $14.96 per share, 4,473,458 of which were exercisable, 2,984,663 shares of unvested restricted stock units, 17,008,164 pre-funded warrants to purchase shares of our common stock and 9,157,496 warrants to purchase shares of our common stock at a weighted-average exercise price of $7.35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“SRRK.” On October 4, 2024, the closing price for our common stock, as reported on The Nasdaq Global Select Market, was $7.42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transfer agent and registrar for our common stock is Computershare Trust Company, N.A</w:t>
      </w:r>
      <w:r>
        <w:rPr>
          <w:rFonts w:ascii="Times New Roman;Times;serif" w:hAnsi="Times New Roman;Times;serif"/>
          <w:b/>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transfer agent and registrar’s address is P.O. Box 43006, Providence, Rhode Island 02940-3006, and its telephone number within the U.S. is (800) 736-3001 and outside the U.S. is (781) 575-3100.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 for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November 2020 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2020, we sold pre-funded warrants to purchase 2,179,487 shares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w:t>
      </w:r>
      <w:r>
        <w:rPr>
          <w:rFonts w:ascii="Times New Roman;Times;serif" w:hAnsi="Times New Roman;Times;serif"/>
          <w:b w:val="false"/>
          <w:i w:val="false"/>
          <w:caps w:val="false"/>
          <w:smallCaps w:val="false"/>
          <w:color w:val="000000"/>
          <w:spacing w:val="4"/>
          <w:sz w:val="20"/>
        </w:rPr>
        <w:t xml:space="preserve">.   The pre-funded warrants are issued as individual warrant agreements to each individual purchaser of a pre-funded warrant.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w:t>
      </w:r>
      <w:r>
        <w:rPr>
          <w:rFonts w:ascii="Times New Roman;Times;serif" w:hAnsi="Times New Roman;Times;serif"/>
          <w:b w:val="false"/>
          <w:i w:val="false"/>
          <w:caps w:val="false"/>
          <w:smallCaps w:val="false"/>
          <w:color w:val="000000"/>
          <w:spacing w:val="4"/>
          <w:sz w:val="20"/>
        </w:rPr>
        <w:t xml:space="preserve">.   The pre-funded warrants do not expire.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Exercisability</w:t>
      </w:r>
      <w:r>
        <w:rPr>
          <w:rFonts w:ascii="Times New Roman;Times;serif" w:hAnsi="Times New Roman;Times;serif"/>
          <w:b w:val="false"/>
          <w:i w:val="false"/>
          <w:caps w:val="false"/>
          <w:smallCaps w:val="false"/>
          <w:color w:val="000000"/>
          <w:spacing w:val="4"/>
          <w:sz w:val="20"/>
        </w:rPr>
        <w:t xml:space="preserve">.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pay the holder an amount in cash equal to the fractional amount multiplied by the last closing trading price of our common stock on the exercise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limitations</w:t>
      </w:r>
      <w:r>
        <w:rPr>
          <w:rFonts w:ascii="Times New Roman;Times;serif" w:hAnsi="Times New Roman;Times;serif"/>
          <w:b w:val="false"/>
          <w:i w:val="false"/>
          <w:caps w:val="false"/>
          <w:smallCaps w:val="false"/>
          <w:color w:val="000000"/>
          <w:spacing w:val="4"/>
          <w:sz w:val="20"/>
        </w:rPr>
        <w:t xml:space="preserve">.   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The exercise price per whole share of our common stock purchasable upon the exercise of the pre-funded warrants is $0.0001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The exercise price will not be adjusted below the par value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Subject to applicable laws, the pre-funded warrants may be offered for sale, sold, transferred or assigned without our consent. The pre-funded warrants will be held in definitive form by the warrant agent. The ownership of the pre-funded warrants and any transfers of the pre-funded warrants will be registered in a warrant register maintained by the warrant agent. We will initially act as warrant agent.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June 2022 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2022, we sold pre-funded warrants to purchase 25,510,205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w:t>
      </w:r>
      <w:r>
        <w:rPr>
          <w:rFonts w:ascii="Times New Roman;Times;serif" w:hAnsi="Times New Roman;Times;serif"/>
          <w:b w:val="false"/>
          <w:i w:val="false"/>
          <w:caps w:val="false"/>
          <w:smallCaps w:val="false"/>
          <w:color w:val="000000"/>
          <w:spacing w:val="4"/>
          <w:sz w:val="20"/>
        </w:rPr>
        <w:t xml:space="preserve">.   The pre-funded warrants are issued as individual warrant agreements to each individual purchaser of a pre-funded warrant.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w:t>
      </w:r>
      <w:r>
        <w:rPr>
          <w:rFonts w:ascii="Times New Roman;Times;serif" w:hAnsi="Times New Roman;Times;serif"/>
          <w:b w:val="false"/>
          <w:i w:val="false"/>
          <w:caps w:val="false"/>
          <w:smallCaps w:val="false"/>
          <w:color w:val="000000"/>
          <w:spacing w:val="4"/>
          <w:sz w:val="20"/>
        </w:rPr>
        <w:t xml:space="preserve">.   The pre-funded warrants do not expire.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Each pre-funded warrant offered has an initial exercise price per share equal to $0.0001. The exercise price and number of shares of common stock issuable upon exercise is subject to appropriate adjustment in the event of stock dividends, stock splits, reorganizations or similar events affecting our common stock and the exercise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Exercisability</w:t>
      </w:r>
      <w:r>
        <w:rPr>
          <w:rFonts w:ascii="Times New Roman;Times;serif" w:hAnsi="Times New Roman;Times;serif"/>
          <w:b w:val="false"/>
          <w:i w:val="false"/>
          <w:caps w:val="false"/>
          <w:smallCaps w:val="false"/>
          <w:color w:val="000000"/>
          <w:spacing w:val="4"/>
          <w:sz w:val="20"/>
        </w:rPr>
        <w:t xml:space="preserve">.   The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pre-funded warrant to the extent that the holder would own more than 9.99% (or, at the election of the purchaser, 4.99%,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14.99% or 19.99%) of the outstanding shares of common stock immediately after exercise, except that upon at least 61 days’ written prior notice from the holder to us, the holder may increase or decrease the amount of ownership of outstanding shares of common stock after exercising the holder’s pre-funded warrants up to 19.99% of the number of shares of common stock outstanding immediately after giving effect to the exercise, as such percentage ownership is determined in accordance with the terms of the pre-funded warrants.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Cashless exercise</w:t>
      </w:r>
      <w:r>
        <w:rPr>
          <w:rFonts w:ascii="Times New Roman;Times;serif" w:hAnsi="Times New Roman;Times;serif"/>
          <w:b w:val="false"/>
          <w:i w:val="false"/>
          <w:caps w:val="false"/>
          <w:smallCaps w:val="false"/>
          <w:color w:val="000000"/>
          <w:spacing w:val="4"/>
          <w:sz w:val="20"/>
        </w:rPr>
        <w:t xml:space="preserve">.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Fundamental transactions</w:t>
      </w:r>
      <w:r>
        <w:rPr>
          <w:rFonts w:ascii="Times New Roman;Times;serif" w:hAnsi="Times New Roman;Times;serif"/>
          <w:b w:val="false"/>
          <w:i w:val="false"/>
          <w:caps w:val="false"/>
          <w:smallCaps w:val="false"/>
          <w:color w:val="000000"/>
          <w:spacing w:val="4"/>
          <w:sz w:val="20"/>
        </w:rPr>
        <w:t xml:space="preserve">.   In the event of any fundamental transaction, as described in the pre-funded warrants and generally including any merger with or into another entity, sale of all or substantially all of our assets, tender offer or exchange offer, or reclassification of our shares of common stock, then upon any subsequent exercise of a pre-funded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common stock for which the Pre-funded Warrant is exercisable immediately prior to such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Subject to applicable laws, the pre-funded warrants may be offered for sale, sold, transferred or assigned without our consent. The pre-funded warrants will be held in definitive form by the warrant agent. The ownership of the pre-funded warrants and any transfers of the pre-funded warrants will be registered in a warrant register maintained by the warrant agent. We act as warrant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Exchange listing</w:t>
      </w:r>
      <w:r>
        <w:rPr>
          <w:rFonts w:ascii="Times New Roman;Times;serif" w:hAnsi="Times New Roman;Times;serif"/>
          <w:b w:val="false"/>
          <w:i w:val="false"/>
          <w:caps w:val="false"/>
          <w:smallCaps w:val="false"/>
          <w:color w:val="000000"/>
          <w:spacing w:val="4"/>
          <w:sz w:val="20"/>
        </w:rPr>
        <w:t xml:space="preserve">.   There is no established trading market for the pre-funded warrants. We do not intend to list the pre-funded warrants on any securities exchange or nationally recognized trading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Right as a stockholder</w:t>
      </w:r>
      <w:r>
        <w:rPr>
          <w:rFonts w:ascii="Times New Roman;Times;serif" w:hAnsi="Times New Roman;Times;serif"/>
          <w:b w:val="false"/>
          <w:i w:val="false"/>
          <w:caps w:val="false"/>
          <w:smallCaps w:val="false"/>
          <w:color w:val="000000"/>
          <w:spacing w:val="4"/>
          <w:sz w:val="20"/>
        </w:rPr>
        <w:t xml:space="preserve">.   Except as otherwise provided in the pre-funded warrants or by virtue of such holder’s ownership of shares of our common stock, the holders of the pre-funded warrants do not have the rights or privileges of holders of our common stock, including any voting rights, until such pre-funded warrant holders exercise their pre-funded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 Purchase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June 2022 Common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2022, we sold warrants to purchase 10,459,181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w:t>
      </w:r>
      <w:r>
        <w:rPr>
          <w:rFonts w:ascii="Times New Roman;Times;serif" w:hAnsi="Times New Roman;Times;serif"/>
          <w:b w:val="false"/>
          <w:i w:val="false"/>
          <w:caps w:val="false"/>
          <w:smallCaps w:val="false"/>
          <w:color w:val="000000"/>
          <w:spacing w:val="4"/>
          <w:sz w:val="20"/>
        </w:rPr>
        <w:t xml:space="preserve">.   The common warrants are issued as individual warrant agreements to each individual purchaser of a common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Duration and exercise price</w:t>
      </w:r>
      <w:r>
        <w:rPr>
          <w:rFonts w:ascii="Times New Roman;Times;serif" w:hAnsi="Times New Roman;Times;serif"/>
          <w:b w:val="false"/>
          <w:i w:val="false"/>
          <w:caps w:val="false"/>
          <w:smallCaps w:val="false"/>
          <w:color w:val="000000"/>
          <w:spacing w:val="4"/>
          <w:sz w:val="20"/>
        </w:rPr>
        <w:t xml:space="preserve">.   Each warrant has an initial exercise price per share equal to $7.35 The warrants are immediately exercisable and will expire upon December 31, 2025. The exercise price and number of shares of common stock issuable upon exercise is subject to appropriate adjustment in the event of stock dividends, stock splits, reorganizations or similar events affecting our common stock and the exercise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Exercisability</w:t>
      </w:r>
      <w:r>
        <w:rPr>
          <w:rFonts w:ascii="Times New Roman;Times;serif" w:hAnsi="Times New Roman;Times;serif"/>
          <w:b w:val="false"/>
          <w:i w:val="false"/>
          <w:caps w:val="false"/>
          <w:smallCaps w:val="false"/>
          <w:color w:val="000000"/>
          <w:spacing w:val="4"/>
          <w:sz w:val="20"/>
        </w:rPr>
        <w:t xml:space="preserve">.   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warrant to the extent that the holder would own more than 4.99% (or, at the election of the purchaser, 9.99%, 14.99% or 19.99%) of the outstanding shares of common stock immediately after exercise, except that upon at least 61 days’ prior notice from the holder to us, the holder may increase the amount of ownership of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after exercising the holder’s warrants up to 9.99%, 14.99% or 19.99% of the number of shares of common stock outstanding immediately after giving effect to the exercise, as such percentage ownership is determined in accordance with the terms of the warrants. No fractional shares of common stock will be issued in connection with the exercise of a warrant. In lieu of fractional shares, we will either pay the holder an amount in cash equal to the fractional amount multiplied by the exercise price or round up to the next whole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Cashless exercise</w:t>
      </w:r>
      <w:r>
        <w:rPr>
          <w:rFonts w:ascii="Times New Roman;Times;serif" w:hAnsi="Times New Roman;Times;serif"/>
          <w:b w:val="false"/>
          <w:i w:val="false"/>
          <w:caps w:val="false"/>
          <w:smallCaps w:val="false"/>
          <w:color w:val="000000"/>
          <w:spacing w:val="4"/>
          <w:sz w:val="20"/>
        </w:rPr>
        <w:t xml:space="preserve">.   If at the time of exercise hereof there is no effective registration statement registering, or the prospectus contained therein is not available for the issuance of the shares of common stock issuable upon exercise of the warrants,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Fundamental transactions</w:t>
      </w:r>
      <w:r>
        <w:rPr>
          <w:rFonts w:ascii="Times New Roman;Times;serif" w:hAnsi="Times New Roman;Times;serif"/>
          <w:b w:val="false"/>
          <w:i w:val="false"/>
          <w:caps w:val="false"/>
          <w:smallCaps w:val="false"/>
          <w:color w:val="000000"/>
          <w:spacing w:val="4"/>
          <w:sz w:val="20"/>
        </w:rPr>
        <w:t xml:space="preserve">.   In the event of any fundamental transaction, as described in the warrants and generally including any merger with or into another entity, sale of all or substantially all of our assets, tender offer or exchange offer, or reclassification of our shares of common stock, then upon any subsequent exercise of a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common stock for which the warrant is exercisable immediately prior to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Subject to applicable laws, a warrant or the rights thereunder may not be transferred or assigned, in whole or in part unless such transfer is to the warrant holder’s successors and Affiliates (as defined in the warrant). The ownership of the warrants and any transfers of the warrants will be registered in a warrant register maintained by the warrant agent. We will initially act as warrant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Exchange listing</w:t>
      </w:r>
      <w:r>
        <w:rPr>
          <w:rFonts w:ascii="Times New Roman;Times;serif" w:hAnsi="Times New Roman;Times;serif"/>
          <w:b w:val="false"/>
          <w:i w:val="false"/>
          <w:caps w:val="false"/>
          <w:smallCaps w:val="false"/>
          <w:color w:val="000000"/>
          <w:spacing w:val="4"/>
          <w:sz w:val="20"/>
        </w:rPr>
        <w:t xml:space="preserve">.   There is no trading market available for the warrants on any securities exchange or nationally recognized trading system. We do not intend to list the warrants on any securities exchange or nationally recognized trading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Right as a stockholder</w:t>
      </w:r>
      <w:r>
        <w:rPr>
          <w:rFonts w:ascii="Times New Roman;Times;serif" w:hAnsi="Times New Roman;Times;serif"/>
          <w:b w:val="false"/>
          <w:i w:val="false"/>
          <w:caps w:val="false"/>
          <w:smallCaps w:val="false"/>
          <w:color w:val="000000"/>
          <w:spacing w:val="4"/>
          <w:sz w:val="20"/>
        </w:rPr>
        <w:t xml:space="preserve">.   Except as otherwise provided in the warrants or by virtue of such holder’s ownership of shares of our common stock, the holders of the warrants do not have the rights or privileges of holders of our common stock, including any voting rights, until they exercise their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or any authorized committee thereof has the authority, without further action by our stockholders, to issue up to 10,000,000 shares of preferred stock in one or more series and to fix the rights, preferences, privileges, and restrictions thereof. No shares of preferred stock are outstanding, and we have no present plans to issue any shares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authorizing our board of directors to issue preferred stock in one or more series and determine the number of shares in the series and its rights and preferences is to eliminate delays associated with a shareholder vote on specific issuances. Examples of rights and preferences that the board of directors may fix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rights;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rates;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rights;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of redemption; and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preferences.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Series of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authorized;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share;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period and payment date, and method of calculation for dividends;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stock on any securities exchange or market;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convertible into our common stock, and, if applicable, the conversion price, or how it will be calculated, and the conversion period;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exchangeable into debt securities, and, if applicable, the exchange price, or how it will be calculated, and the exchange period;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stock;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preemptive rights, if any;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 if any;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stock will be represented by depositary shares;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considerations applicable to the preferred stock;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stock as to dividend rights and rights if we liquidate, dissolve or wind up our affairs;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 of any class or series of preferred stock ranking senior to or on a parity with the series of preferred stock as to dividend rights and rights if we liquidate, dissolve or wind up our affairs; and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preferred stock. </w:t>
      </w:r>
      <w:r>
        <mc:AlternateContent>
          <mc:Choice Requires="wps">
            <w:drawing>
              <wp:anchor behindDoc="0" distT="0" distB="0" distL="254000" distR="0" simplePos="0" locked="0" layoutInCell="1" allowOverlap="1" relativeHeight="116">
                <wp:simplePos x="0" y="0"/>
                <wp:positionH relativeFrom="column">
                  <wp:align>left</wp:align>
                </wp:positionH>
                <wp:positionV relativeFrom="line">
                  <wp:posOffset>635</wp:posOffset>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issue shares of preferred stock under this prospectus, the shares will fully be paid and nonassessable and will not have, or be subject to, any preemptive or similar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Gilead Sciences, Inc., or Gilead, is entitled to rights with respect to the registration of certain shares under the Securities Act pursuant to a registration rights agreement, or Registration Rights Agreement, and include demand registration rights, short-form and shelf registration rights and piggyback registration rights. All fees, costs and expenses of underwritten registrations, subject to certain restrictions, will be borne by us and all selling expenses, including underwriting discounts and selling commissions, will be borne by Gilead.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Demand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Registration Rights Agreement with Gilead, beginning on December 19, 2020, we are required, upon the written request of the stockholder to register securities with an aggregate value of at least $10.0 million based on then-current value of the securities, to use reasonable best efforts to effect the registration of such shares on Form S-1, subject to certain exceptions. Under the terms of the Registration Rights Agreement, we are required to effect up to two registrations pursuant to this provision, and the short-form and shelf registration rights provisions of the Registration Rights Agreement, except that the number of shelf takedowns that are not underwritten offerings are not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490,196 shares of common stock are entitled to the demand registration rights under the Registration Rights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Short-Form and Shelf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Registration Rights Agreement, beginning on December 19, 2020, if we are eligible to file a registration statement on Form S-3, upon the written request of the stockholder to register securities with an aggregate value of at least $3.0 million based on then-current value of the securities, we will use reasonable best efforts to cause registration of the securities on Form S-3. In addition, under the terms of the Registration Rights Agreement, upon the written request of the stockholder, we will be required to file a shelf registration statement on Form S-3 to register the securities pursuant to Securities Act Rule 415 and use our reasonable best efforts to cause such shelf registration statement to become effective, subject to certain exceptions.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to have such shares registered on Form S-3 is further subject to other specified conditions and limitations in each case.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490,196 shares of common stock are entitled to the Form S-3 registration rights under the Registration Rights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Piggyback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propose to register any of our securities, either for our own account or for the account of other security holders, under the Registration Rights Agreement, we will use reasonable best efforts to include the stockholder’s shares in the registration.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Registration Rights Agreement, subject to certain exceptions, the underwriters may limit the number of shares included in the underwritten offering to the number of shares which the underwriters determine in their sole discretion will not jeopardize the success of the offering, including, specifically, where the underwriter has determined that in their opinion there is a risk that the price of the securities will be reduced or the number of securities intended to be included on our behalf will be reduced.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490,196 shares of common stock are entitled to these piggyback registration rights under the Registration Rights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Rights Agreement contains customary cross-indemnification provisions, under which we are obligated to indemnify the stockholder in the event of material misstatements or omissions in the registration statement attributable to us, and the stockholder is obligated to indemnify us for material misstatements or omissions attributable to 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Expiration of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rights granted under the Registration Rights Agreement will terminate on December 19,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the board of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certificate of incorporation provides that our board of directors is divided into three classes of directors, with the classes as nearly equal in number as possible. As a result, approximately one-third of our board of directors will be elected each year. The classification of directors has the effect of making it more difficult for stockholders to change the composition of our board. Our certificate of incorporation provides that, subject to any rights of holders of preferred stock to elect additional directors under specified circumstances, the number of directors will be fixed exclusively pursuant to a resolution adopted by our board of directors. Our board of directors has eight members. Our certificate of incorporation provides that the affirmative vote of at least two-thirds of the outstanding shares of capital stock entitled to vote, and the affirmative vote of at least two-thirds of the outstanding shares of each class entitled to vote as a class, is required to amend or repeal the foregoing provision. This requirement of a supermajority vote to amend or repeal that provision of our bylaws could enable a minority of our stockholders to prevent a declassification of our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Action by Written Consent; Special Meetings of Stockholders.</w:t>
      </w:r>
      <w:r>
        <w:rPr>
          <w:rFonts w:ascii="Times New Roman;Times;serif" w:hAnsi="Times New Roman;Times;serif"/>
          <w:b w:val="false"/>
          <w:i w:val="false"/>
          <w:caps w:val="false"/>
          <w:smallCaps w:val="false"/>
          <w:color w:val="000000"/>
          <w:spacing w:val="4"/>
          <w:sz w:val="20"/>
        </w:rPr>
        <w:t xml:space="preserve">   Our certificate of incorporation provides that stockholder action can be taken only at an annual or special meeting of stockholders and cannot be taken by written consent in lieu of a meeting. This limit may lengthen the amount of time required to take stockholder actions and would prevent the amendment of our bylaws or removal of directors by our stockholders without holding a meeting of stockholders. Our certificate of incorporation provides that the affirmative vote of at least two-thirds of the outstanding shares of capital stock entitled to vote, and the affirmative vote of at least two-thirds of the outstanding shares of each class entitled to vote as a class, is required to amend or repeal the foregoing provision. Our certificate of incorporation and bylaws provide that, except as otherwise required by law, special meetings of the stockholders can be called only by or at the direction of the board of directors pursuant to a resolution adopted by a majority of the total number of directors,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Stockholders are not permitted to call a special meeting or to require the board of directors to call a special meeting. Our bylaws provide that the affirmative vote of at least two thirds of the outstanding shares entitled to vote, and of each class entitled to vote, respectively, is required to amend the or repeal the provision in our bylaws that provides that special meetings of the stockholders can be called only by or at the direction of the board of directors pursuant to a resolution adopted by a majority of the total number of directors, unless the Board first recommends such amendment or repeal to stockholders. This requirement of a supermajority vote to amend or repeal that provision of our bylaws could enable a minority of our stockholders to prevent a change to such provision and has the effect of making it more difficult for stockholders to call a special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w:t>
      </w:r>
      <w:r>
        <w:rPr>
          <w:rFonts w:ascii="Times New Roman;Times;serif" w:hAnsi="Times New Roman;Times;serif"/>
          <w:b w:val="false"/>
          <w:i w:val="false"/>
          <w:caps w:val="false"/>
          <w:smallCaps w:val="false"/>
          <w:color w:val="000000"/>
          <w:spacing w:val="4"/>
          <w:sz w:val="20"/>
        </w:rPr>
        <w:t xml:space="preserve">   Our certificate of incorporation provides that our directors may be removed only for cause and then only by the affirmative vote of the holders of two-thirds or more of the shares then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vote at an election of directors, at a meeting of the stockholders called for that purpose. Furthermore, any vacancy on our board of directors, however occurring, including a vacancy resulting from an increase in the size of our board, may only be filled by the affirmative vote of a majority of our directors then in office even if less than a quorum. This requirement of a supermajority vote to remove directors could enable a minority of our stockholders to prevent a change in the composition of our board, and the treatment of vacancies also has the effect of making it more difficult for stockholders to change the composition of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bylaws establish an advance notice procedure for stockholder proposals to be brought before an annual meeting of our stockholders, including proposed nominations of persons for election to the board of directors.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Super Majority Approval Requirements and Amendment to Certificate of Incorporation and Bylaws.</w:t>
      </w:r>
      <w:r>
        <w:rPr>
          <w:rFonts w:ascii="Times New Roman;Times;serif" w:hAnsi="Times New Roman;Times;serif"/>
          <w:b w:val="false"/>
          <w:i w:val="false"/>
          <w:caps w:val="false"/>
          <w:smallCaps w:val="false"/>
          <w:color w:val="000000"/>
          <w:spacing w:val="4"/>
          <w:sz w:val="20"/>
        </w:rPr>
        <w:t xml:space="preserve">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and corporate acquisitions. The existence of authorized but unissued shares of common stock and preferred stock could render more difficult or discourage an attempt to obtain control of a majority of our common stock by means of a proxy contest, tender offer, merger or otherwise. For example, if in the due exercise of its fiduciary obligations, our board of directors were to determine that a takeover proposal is not in the best interests of our stockholders, our board of directors could cause shares of convertible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convertible preferred stock. The issuance of shares of convertible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val="false"/>
          <w:i w:val="false"/>
          <w:caps w:val="false"/>
          <w:smallCaps w:val="false"/>
          <w:color w:val="000000"/>
          <w:spacing w:val="4"/>
          <w:sz w:val="20"/>
        </w:rPr>
        <w:t xml:space="preserve">   Our bylaws provide that,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In addition, our bylaws provide that any person or entity purchasing or otherwise acquiring any interest in shares of our common stock is deemed to have notice of and consented to the foregoing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chosen the United States District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selection provision, and we may incur additional costs of litigation should such enforceability be challenged.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203 of the Delaware General Corporation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Delaware General Corporation Law, or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DS"/>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and they are incorporated into this prospectus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 not limit the amount of debt securities that we may issue;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allow us to issue debt securities in one or more series;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 not require us to issue all of the debt securities of a series at the same time;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allow us to reopen a series to issue additional debt securities without the consent of the holders of the debt securities of such series; and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the debt securities will be unsecured, except as may be set forth in the applicable prospectus supplement.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give you different information in the applicable prospectus supplement, the senior debt securities will be unsubordinated obligations and will rank equally with all of our other senior unsecured and unsubordinated indebtedness. Payments on the subordinated debt securities will be subordinated to the prior payment in full of all of our senior indebtedness, as described under “Description of Debt Securities — Subordination” and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provides that we may, but need not, designate more than one trustee under an indenture. Any trustee under an indenture may resign or be removed and a successor trustee may be appointed to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for each offering will provide the following terms, where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and whether they are senior or subordinated;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 </w:t>
      </w:r>
      <w:r>
        <mc:AlternateContent>
          <mc:Choice Requires="wps">
            <w:drawing>
              <wp:anchor behindDoc="0" distT="787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 </w:t>
      </w:r>
      <w:r>
        <mc:AlternateContent>
          <mc:Choice Requires="wps">
            <w:drawing>
              <wp:anchor behindDoc="0" distT="787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convertible, the terms on which such debt securities are convertible, including the initial conversion price or rate and the conversion period and any applicable limitations on the ownership or transferability of common stock or other securities of ours received on conversion; </w:t>
      </w:r>
      <w:r>
        <mc:AlternateContent>
          <mc:Choice Requires="wps">
            <w:drawing>
              <wp:anchor behindDoc="0" distT="7874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for determining the date or dates, on which the principal of the debt securities will be payable; </w:t>
      </w:r>
      <w:r>
        <mc:AlternateContent>
          <mc:Choice Requires="wps">
            <w:drawing>
              <wp:anchor behindDoc="0" distT="7874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or variable interest rate or rates of the debt securities, or the method by which the interest rate or rates is determined; </w:t>
      </w:r>
      <w:r>
        <mc:AlternateContent>
          <mc:Choice Requires="wps">
            <w:drawing>
              <wp:anchor behindDoc="0" distT="7874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for determining the date or dates, from which interest will accrue;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be payable;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for interest payment dates, or the method by which such dates will be determined;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persons to whom interest will be payable;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upon which interest will be calculated if other than that of a 360-day year of twelve 30-day months;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make-whole amount, which is the amount in addition to principal and interest that is required to be paid to the holder of a debt security as a result of any optional redemption or accelerated payment of such debt security, or the method for determining the make-whole amount;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or make-whole amount, and interest on, the debt securities will be payable;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debt securities may be surrendered for registration of transfer or conversion or exchange;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notices or demands to or upon us in respect of the debt securities and the applicable indenture may be served;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times, prices and other terms and conditions upon which we may redeem the debt securities;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 </w:t>
      </w:r>
      <w:r>
        <mc:AlternateContent>
          <mc:Choice Requires="wps">
            <w:drawing>
              <wp:anchor behindDoc="0" distT="7874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t>
      </w:r>
      <w:r>
        <mc:AlternateContent>
          <mc:Choice Requires="wps">
            <w:drawing>
              <wp:anchor behindDoc="0" distT="7874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of principal of, and any premium or make-whole amount, or interest on, the debt securities may be determined according to an index, formula or other method and how such amounts will be determined;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applicable to the offer, sale or delivery of securities in bearer form and the terms upon which securities in bearer form of the series may be exchanged for securities in registered form of the series and vice versa, if permitted by applicable laws and regulations;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depositary for securities in registered form, if such series are to be issuable as a global security;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as of which any debt securities in bearer form or in temporary global form shall be dated if other than the original issuance date of the first security of the series to be issued;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if any, of the defeasance and covenant defeasance provisions described in this prospectus or in the applicable indenture;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any additional amounts on the debt securities in respect of any tax, assessment or governmental charge and, if so, whether we will have the option to redeem the debt securities in lieu of making such a payment;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the debt securities being offered are convertible into common stock or other securities of ours, as the case may be, including the conversion price or rate and the manner or calculation thereof;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granting special rights to holders of securities upon the occurrence of such events as specified in the applicable prospectus supplement;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such series are to be issuable in definitive form only upon receipt of certain certificates or other documents or satisfaction of other conditions, then the form and/or terms of such certificates, documents or conditions;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applicable trustee and the nature of any material relationship with us or any of our affiliates, and the percentage of debt securities of the class necessary to require the trustee to take action;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our events of default or covenants with regard to such debt securities and any change in the right of any trustee or any of the holders to declare the principal amount of any of such debt securities due and payable;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CUSIP numbers; and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debt securities not inconsistent with the provisions of the applicable indenture. </w:t>
      </w:r>
      <w:r>
        <mc:AlternateContent>
          <mc:Choice Requires="wps">
            <w:drawing>
              <wp:anchor behindDoc="0" distT="0" distB="0" distL="254000" distR="0" simplePos="0" locked="0" layoutInCell="1" allowOverlap="1" relativeHeight="156">
                <wp:simplePos x="0" y="0"/>
                <wp:positionH relativeFrom="column">
                  <wp:align>left</wp:align>
                </wp:positionH>
                <wp:positionV relativeFrom="line">
                  <wp:posOffset>635</wp:posOffset>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Denomination, Interest, Registration and Transfer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described in the applicable prospectus supplement, the debt securities of any series will be issuable in denominations of $1,000 and integral multiples of $1,000.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limitations imposed upon debt securities that are evidenced by a computerized entry in the records of a depository company rather than by physical delivery of a note, a holder of debt securities of any series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 </w:t>
      </w:r>
      <w:r>
        <mc:AlternateContent>
          <mc:Choice Requires="wps">
            <w:drawing>
              <wp:anchor behindDoc="0" distT="0" distB="0" distL="254000" distR="0" simplePos="0" locked="0" layoutInCell="1" allowOverlap="1" relativeHeight="157">
                <wp:simplePos x="0" y="0"/>
                <wp:positionH relativeFrom="column">
                  <wp:align>left</wp:align>
                </wp:positionH>
                <wp:positionV relativeFrom="line">
                  <wp:posOffset>635</wp:posOffset>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surrender them for registration of transfer or exchange at the corporate trust office of the applicable trustee or at the office of any transfer agent that we designate for such purpose.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trustee, will be required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or portion thereof, so selected for redemption, in whole or in part, except the unredeemed portion of any debt security being redeemed in part; and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that has been surrendered for repayment at the option of the holder, except the portion, if any, of such debt security not to be so repaid.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Consolidation or Sale of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we may, without the consent of the holders of any outstanding debt securities, (i) consolidate with, (ii) sell, lease or convey all or substantially all of our assets to, or (iii) merge with or into, any other entity provided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transaction, there is no event of default under the indentures and no event which, after notice or the lapse of time, or both, would become such an event of default, occurs and continues; and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legal opinion covering such conditions are delivered to each applicable trustee.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Existence.</w:t>
      </w:r>
      <w:r>
        <w:rPr>
          <w:rFonts w:ascii="Times New Roman;Times;serif" w:hAnsi="Times New Roman;Times;serif"/>
          <w:b w:val="false"/>
          <w:i w:val="false"/>
          <w:caps w:val="false"/>
          <w:smallCaps w:val="false"/>
          <w:color w:val="000000"/>
          <w:spacing w:val="4"/>
          <w:sz w:val="20"/>
        </w:rPr>
        <w:t xml:space="preserve">   Except as described under “— Merger, Consolidation or Sale of Assets,” the indentures require us to do or cause to be done all things necessary to preserve and keep in full force and effect our existence, rights and franchises. However, the indentures do not require us to preserve any right or franchise if we determine that any right or franchise is no longer desirable in the conduct of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of taxes and other claims.</w:t>
      </w:r>
      <w:r>
        <w:rPr>
          <w:rFonts w:ascii="Times New Roman;Times;serif" w:hAnsi="Times New Roman;Times;serif"/>
          <w:b w:val="false"/>
          <w:i w:val="false"/>
          <w:caps w:val="false"/>
          <w:smallCaps w:val="false"/>
          <w:color w:val="000000"/>
          <w:spacing w:val="4"/>
          <w:sz w:val="20"/>
        </w:rPr>
        <w:t xml:space="preserve">   The indentures require us to pay, discharge or cause to be paid or discharged, before they become delinquent (i) all taxes, assessments and governmental charges levied or imposed on us, and (ii) all lawful claims for labor, materials and supplies which, if unpaid, might by law become a lien upon our property. However, we will not be required to pay, discharge or cause to be paid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discharged any such tax, assessment, charge or claim whose amount, applicability or validity is being contested in good faith by appropriate proceedings.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Provision of financial information.</w:t>
      </w:r>
      <w:r>
        <w:rPr>
          <w:rFonts w:ascii="Times New Roman;Times;serif" w:hAnsi="Times New Roman;Times;serif"/>
          <w:b w:val="false"/>
          <w:i w:val="false"/>
          <w:caps w:val="false"/>
          <w:smallCaps w:val="false"/>
          <w:color w:val="000000"/>
          <w:spacing w:val="4"/>
          <w:sz w:val="20"/>
        </w:rPr>
        <w:t xml:space="preserve">   The indentures require us to (i) within 15 days of each of the respective dates by which we are required 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Additional covenants.</w:t>
      </w:r>
      <w:r>
        <w:rPr>
          <w:rFonts w:ascii="Times New Roman;Times;serif" w:hAnsi="Times New Roman;Times;serif"/>
          <w:b w:val="false"/>
          <w:i w:val="false"/>
          <w:caps w:val="false"/>
          <w:smallCaps w:val="false"/>
          <w:color w:val="000000"/>
          <w:spacing w:val="4"/>
          <w:sz w:val="20"/>
        </w:rPr>
        <w:t xml:space="preserve">   The applicable prospectus supplement will set forth any of our additional covenants relating to any series of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Events of Default, Notice and Waiver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when we refer to “events of default” as defined in the indentures with respect to any series of debt securities, we mean: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installment of interest on any debt security of such series continuing for 30 days;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or any premium or make-whole amount on, any debt security of such series for five business days at its stated maturity;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making any sinking fund payment as required for any debt security of such series for five business days;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 </w:t>
      </w:r>
      <w:r>
        <mc:AlternateContent>
          <mc:Choice Requires="wps">
            <w:drawing>
              <wp:anchor behindDoc="0" distT="7493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any bond, debenture, note, mortgage, indenture or instrument: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having an aggregate principal amount of at least $30,000,000; or </w:t>
      </w:r>
      <w:r>
        <mc:AlternateContent>
          <mc:Choice Requires="wps">
            <w:drawing>
              <wp:anchor behindDoc="0" distT="74930" distB="0" distL="508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which there may be issued, secured or evidenced any existing or later created indebtedness for money borrowed by us, if we are directly responsible or liable as obligor or guarantor, </w:t>
      </w:r>
      <w:r>
        <mc:AlternateContent>
          <mc:Choice Requires="wps">
            <w:drawing>
              <wp:anchor behindDoc="0" distT="74930" distB="0" distL="508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bankruptcy, insolvency or reorganization, or court appointment of a receiver, liquidator or trustee of us; and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a particular series of debt securities.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 </w:t>
      </w:r>
      <w:r>
        <mc:AlternateContent>
          <mc:Choice Requires="wps">
            <w:drawing>
              <wp:anchor behindDoc="0" distT="7747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events of default, other than the non-payment of accelerated principal, or a specified portion thereof, and any premium or make-whole amount, have been cured or waived. </w:t>
      </w:r>
      <w:r>
        <mc:AlternateContent>
          <mc:Choice Requires="wps">
            <w:drawing>
              <wp:anchor behindDoc="0" distT="7747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any premium or make-whole amount, or interest;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contained in the applicable indenture that cannot be modified or amended without the consent of the holders of the outstanding debt security that is affected by the default; or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for the benefit or protection of the trustee, without its express written consent.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in conflict with any law or the applicable indenture;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involve the trustee in personal liability; or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unduly prejudicial to the holders of debt securities of the series not joining the proceeding.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close of each fiscal year, we will be required to deliver to each trustee a certificate, signed by one of our several specified officers, stating whether or not that officer has knowledge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default under the applicable indenture. If the officer has knowledge of any default, the notice must specify the nature and status of the default.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Modification of the Indentures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premium or make-whole amount on, or any installment of principal of or interest on, any such debt security; </w:t>
      </w:r>
      <w:r>
        <mc:AlternateContent>
          <mc:Choice Requires="wps">
            <w:drawing>
              <wp:anchor behindDoc="0" distT="7747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the rate or amount of interest on, or any premium or make-whole amount payable on redemption of, any such debt security; </w:t>
      </w:r>
      <w:r>
        <mc:AlternateContent>
          <mc:Choice Requires="wps">
            <w:drawing>
              <wp:anchor behindDoc="0" distT="7747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 original issue discount security that would be due and payable upon declaration of acceleration of the maturity thereof or would be provable in bankruptcy, or adversely affect any right of repayment of the holder of any such debt security; </w:t>
      </w:r>
      <w:r>
        <mc:AlternateContent>
          <mc:Choice Requires="wps">
            <w:drawing>
              <wp:anchor behindDoc="0" distT="7747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coin or currency for payment of principal of, or any premium or make-whole amount, or interest on, any such debt security; </w:t>
      </w:r>
      <w:r>
        <mc:AlternateContent>
          <mc:Choice Requires="wps">
            <w:drawing>
              <wp:anchor behindDoc="0" distT="7747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any such debt security;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respective trustee may make modifications and amendments of an indenture without the consent of any holder of debt securities for any of the following purposes: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as obligor under such indenture;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of all or any series of debt securities or to surrender any right or power conferred upon us in such indenture; </w:t>
      </w:r>
      <w:r>
        <mc:AlternateContent>
          <mc:Choice Requires="wps">
            <w:drawing>
              <wp:anchor behindDoc="0" distT="7747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events of default for the benefit of the holders of all or any series of debt securities; </w:t>
      </w:r>
      <w:r>
        <mc:AlternateContent>
          <mc:Choice Requires="wps">
            <w:drawing>
              <wp:anchor behindDoc="0" distT="7747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 </w:t>
      </w:r>
      <w:r>
        <mc:AlternateContent>
          <mc:Choice Requires="wps">
            <w:drawing>
              <wp:anchor behindDoc="0" distT="7747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provisions of an indenture, provided that any such change or elimination shall become effective only when there are no debt securities outstanding of any series created prior thereto which are entitled to the benefit of such provision; </w:t>
      </w:r>
      <w:r>
        <mc:AlternateContent>
          <mc:Choice Requires="wps">
            <w:drawing>
              <wp:anchor behindDoc="0" distT="7747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w:t>
      </w:r>
      <w:r>
        <mc:AlternateContent>
          <mc:Choice Requires="wps">
            <w:drawing>
              <wp:anchor behindDoc="0" distT="774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debt securities of any series;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acceptance of appointment by a successor trustee or facilitate the administration of the trusts under an indenture by more than one trustee; </w:t>
      </w:r>
      <w:r>
        <mc:AlternateContent>
          <mc:Choice Requires="wps">
            <w:drawing>
              <wp:anchor behindDoc="0" distT="0" distB="0" distL="254000" distR="0" simplePos="0" locked="0" layoutInCell="1" allowOverlap="1" relativeHeight="196">
                <wp:simplePos x="0" y="0"/>
                <wp:positionH relativeFrom="column">
                  <wp:align>left</wp:align>
                </wp:positionH>
                <wp:positionV relativeFrom="line">
                  <wp:posOffset>635</wp:posOffset>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an indenture, provided that such action shall not adversely affect the interests of holders of debt securities of any series issued under such indenture; and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shall be deemed to be outstanding shall be the amount of the principal thereof that would be due and payable as of the date of such determination upon declaration of acceleration of the maturity thereof;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indexed security that shall be deemed outstanding shall be the principal face amount of such indexed security at original issuance, unless otherwise provided for such indexed security under such indenture; and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owned by us or any other obligor upon the debt securities or by any affiliate of ours or of such other obligor shall be disregarded.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principal amount of all outstanding debt securities affected by such action, or of the holders of such series and one or more additional series: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be no minimum quorum requirement for such meeting; and </w:t>
      </w:r>
      <w:r>
        <mc:AlternateContent>
          <mc:Choice Requires="wps">
            <w:drawing>
              <wp:anchor behindDoc="0" distT="7874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 </w:t>
      </w:r>
      <w:r>
        <mc:AlternateContent>
          <mc:Choice Requires="wps">
            <w:drawing>
              <wp:anchor behindDoc="0" distT="787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Subordination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subordinated debt securities will be subject to the following subordination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restrictions will be included in any indenture relating to subordinated debt securities upon the creation of additional senior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Discharge, Defeasance and Covenant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indentures allow us to discharge our obligations to holders of any series of debt securities issued under any indenture when: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and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an opinion of counsel stating the conditions to discharging the debt securities have been satisfied has been delivered to the trustee. </w:t>
      </w:r>
      <w:r>
        <mc:AlternateContent>
          <mc:Choice Requires="wps">
            <w:drawing>
              <wp:anchor behindDoc="0" distT="0" distB="0" distL="254000" distR="0" simplePos="0" locked="0" layoutInCell="1" allowOverlap="1" relativeHeight="207">
                <wp:simplePos x="0" y="0"/>
                <wp:positionH relativeFrom="column">
                  <wp:align>left</wp:align>
                </wp:positionH>
                <wp:positionV relativeFrom="line">
                  <wp:posOffset>635</wp:posOffset>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any and all obligations with respect to such debt securities; or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use the term “government obligations,” we mean securities that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United States or the government that issued the foreign currency in which the debt securities of a particular series are payable, for the payment of which its full faith and credit is pledged; or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use the term “conversion event,” we mean the cessation of use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currency, currency unit or composite currency both by the government of the country that issued such currency and for the settlement of transactions by a central bank or other public institutions of or within the international banking community;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European Currency Unit both within the European Monetary System and for the settlement of transactions by public institutions of or within the European Communities; or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currency unit or composite currency other than the European Currency Unit for the purposes for which it was established.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Recourse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is no recourse under any obligation, covenant or agreement in the applicable indenture or with respect to any security against any of our or our successor’s past, present or future shareholders, employees, officers or directors.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W"/>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evidence each series of warrants by warrant certificates that we will issue under a separate warrant agreement. We will enter into the warrant agreement with a warrant agent. We will indicate the name and address of the warrant agent and any other depositaries, execution or paying agents, transfer agents, registrars or other agents in the applicable prospectus supplement relating to a particular series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warrants,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and aggregate number of warrants offered;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for which the warrants may be purchased;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securities will be separately transferable;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 and the warrants;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or number of securities issuable upon exercise of the warrants;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periods during which, and places at which, the warrants are exercisable;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exercise, including information with respect to book-entry procedures, if any;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and other provisions for changes to or adjustment in the exercise price of, the warrants, if any;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call provisions;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 and warrants may be modified; </w:t>
      </w:r>
      <w:r>
        <mc:AlternateContent>
          <mc:Choice Requires="wps">
            <w:drawing>
              <wp:anchor behindDoc="0" distT="0" distB="0" distL="254000" distR="0" simplePos="0" locked="0" layoutInCell="1" allowOverlap="1" relativeHeight="230">
                <wp:simplePos x="0" y="0"/>
                <wp:positionH relativeFrom="column">
                  <wp:align>left</wp:align>
                </wp:positionH>
                <wp:positionV relativeFrom="line">
                  <wp:posOffset>635</wp:posOffset>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income tax consequences of holding or exercising the warrants;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and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warrants.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warrant agreements will contain additional important terms and provisions and will be incorporated by reference as an exhibit to the registration statement of which this prospectus forms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and the warrants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U"/>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of the governing unit agreement;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units will be issued;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United States federal income tax considerations relating to the units;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units and of the securities comprising the units.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in Series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in such amounts and in as many distinct series as we wish. This section summarizes terms of the units that apply generally to all series. Most of the financial and other specific terms of your series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provisions will generally apply to all unit agreements unless otherwise stated in the applicable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Modification without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applicable unit agent may amend any unit or unit agreement without the consent of any holder: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including modifying any provisions of the governing unit agreement that differ from those described below;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correct or supplement any defective or inconsistent provision; or </w:t>
      </w:r>
      <w:r>
        <mc:AlternateContent>
          <mc:Choice Requires="wps">
            <w:drawing>
              <wp:anchor behindDoc="0" distT="0" distB="0" distL="254000" distR="0" simplePos="0" locked="0" layoutInCell="1" allowOverlap="1" relativeHeight="241">
                <wp:simplePos x="0" y="0"/>
                <wp:positionH relativeFrom="column">
                  <wp:align>left</wp:align>
                </wp:positionH>
                <wp:positionV relativeFrom="line">
                  <wp:posOffset>635</wp:posOffset>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other change that we believe is necessary or desirable and will not adversely affect the interests of the affected holders in any material respect.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Modification with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amend any particular unit or a unit agreement with respect to any particular unit unless we obtain the consent of the holder of that unit, if the amendment would: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outstanding units or any series or class the consent of whose holders is required to amend that series or class, or the applicable unit agreement with respect to that series or class, as described below.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change to a particular unit agreement and the units issued under that agreement would require the following approval: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only the units of a particular series issued under that agreement, the change must be approved by the holders of a majority of the outstanding units of that series; or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regarding changes with majority approval also apply to changes affecting any securities issued under a unit agreement, as the governing document.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the required approval must be given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 Agreements Will Not Be Qualified under Trust Indenture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Mergers and Similar Transactions Permitted; No Restrictive Covenants or Events of Default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 agreements and the units will be governed by and construed in accordance with the laws of the State of Delaware.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Exchange and Transfer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accompanying prospectus supplement states otherwise, 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accompanying prospectus supplement states otherwise, each unit and all securities comprising the unit will be issued in the same form.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any units in registered, non-global form, the following will apply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depositary will be entitled to transfer or exchange a unit in global form, since it will be the sole holder of the unit.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and 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payments and giving notices with respect to our units, we will follow the procedures as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w:t>
      </w:r>
      <w:r>
        <mc:AlternateContent>
          <mc:Choice Requires="wps">
            <w:drawing>
              <wp:anchor behindDoc="0" distT="8001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w:t>
      </w:r>
      <w:r>
        <mc:AlternateContent>
          <mc:Choice Requires="wps">
            <w:drawing>
              <wp:anchor behindDoc="0" distT="8001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8001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or </w:t>
      </w:r>
      <w:r>
        <mc:AlternateContent>
          <mc:Choice Requires="wps">
            <w:drawing>
              <wp:anchor behindDoc="0" distT="8001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or any other method permitted by law. </w:t>
      </w:r>
      <w:r>
        <mc:AlternateContent>
          <mc:Choice Requires="wps">
            <w:drawing>
              <wp:anchor behindDoc="0" distT="8001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8001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8001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8001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8001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with respect to the securities of a particular series will describe the terms of the offering of the securities, including the following: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8001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w:t>
      </w:r>
      <w:r>
        <mc:AlternateContent>
          <mc:Choice Requires="wps">
            <w:drawing>
              <wp:anchor behindDoc="0" distT="8001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the agent or underwriters; </w:t>
      </w:r>
      <w:r>
        <mc:AlternateContent>
          <mc:Choice Requires="wps">
            <w:drawing>
              <wp:anchor behindDoc="0" distT="8001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8001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dealers; and </w:t>
      </w:r>
      <w:r>
        <mc:AlternateContent>
          <mc:Choice Requires="wps">
            <w:drawing>
              <wp:anchor behindDoc="0" distT="8001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8001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used in the sale of the securities in respect of which the prospectus is delivered, we will sell such securities to the dealer, as principal. The dealer, who may be deemed to be an “underwriter” as that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defined in the Securities Act,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lock-up provisions in respect of any given offering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may engage in transactions with us, or perform services for us, in the ordinary course of business for which they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date of delivery of offered securities will be set forth in the applicable prospectus supplement relating to each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LEMA"/>
      <w:bookmarkEnd w:id="27"/>
      <w:r>
        <w:rPr>
          <w:rFonts w:ascii="calibri;arial;sans-serif" w:hAnsi="calibri;arial;sans-serif"/>
          <w:b w:val="false"/>
          <w:i w:val="false"/>
          <w:caps w:val="false"/>
          <w:smallCaps w:val="false"/>
          <w:color w:val="000000"/>
          <w:sz w:val="16"/>
        </w:rPr>
        <w:t>​</w:t>
      </w:r>
      <w:bookmarkStart w:id="28" w:name="tEXP"/>
      <w:bookmarkEnd w:id="28"/>
      <w:r>
        <w:rPr>
          <w:rFonts w:ascii="calibri;arial;sans-serif" w:hAnsi="calibri;arial;sans-serif"/>
          <w:b w:val="false"/>
          <w:i w:val="false"/>
          <w:caps w:val="false"/>
          <w:smallCaps w:val="false"/>
          <w:color w:val="000000"/>
          <w:sz w:val="16"/>
        </w:rPr>
        <w:t>​</w:t>
      </w:r>
      <w:bookmarkStart w:id="29" w:name="tWYCF"/>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16">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Scholar Rock Holding Corporation, 301 Binney Street, 3rd Floor, Cambridge, MA 02142; telephone: (857) 259-3860. Our website is located at </w:t>
      </w:r>
      <w:r>
        <w:rPr>
          <w:rFonts w:ascii="Times New Roman;Times;serif" w:hAnsi="Times New Roman;Times;serif"/>
          <w:b w:val="false"/>
          <w:i/>
          <w:caps w:val="false"/>
          <w:smallCaps w:val="false"/>
          <w:color w:val="000000"/>
          <w:spacing w:val="4"/>
          <w:sz w:val="20"/>
        </w:rPr>
        <w:t>www.scholarrock.com.</w:t>
      </w:r>
      <w:r>
        <w:rPr>
          <w:rFonts w:ascii="Times New Roman;Times;serif" w:hAnsi="Times New Roman;Times;serif"/>
          <w:b w:val="false"/>
          <w:i w:val="false"/>
          <w:caps w:val="false"/>
          <w:smallCaps w:val="false"/>
          <w:color w:val="000000"/>
          <w:spacing w:val="4"/>
          <w:sz w:val="20"/>
        </w:rPr>
        <w:t xml:space="preserve"> Information contained on our website is not incorporated by reference into this prospectus and, therefore, is not part of this prospectus or any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 Certain information in the registration statement has been omitted from this prospectus in accordance with SEC rules and regulations. For more detail about us and any securities that may be offered by this prospectus, you may examine the registration statement on Form S-3 and the exhibits filed with it at the locations listed in the previous paragraph. Please be aware that statements in this prospectus referring to a contract or other document are summaries and you should refer to the exhibits that are part of the registration statement for a copy of the contract or document.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IBR"/>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 </w:t>
      </w:r>
    </w:p>
    <w:p>
      <w:pPr>
        <w:pStyle w:val="TextBody"/>
        <w:bidi w:val="0"/>
        <w:spacing w:lineRule="atLeast" w:line="240" w:before="118" w:after="0"/>
        <w:ind w:left="1993" w:right="0" w:hanging="0"/>
        <w:jc w:val="left"/>
        <w:rPr/>
      </w:pPr>
      <w:hyperlink r:id="rId17">
        <w:r>
          <w:rPr>
            <w:rStyle w:val="InternetLink"/>
          </w:rPr>
          <w:t>our Annual Report on Form 10-K for the year ended December 31, 2023, filed with the SEC on March 19,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and June 30, 2024, filed with the SEC on </w:t>
      </w:r>
      <w:hyperlink r:id="rId18">
        <w:r>
          <w:rPr>
            <w:rStyle w:val="InternetLink"/>
          </w:rPr>
          <w:t>May 7, 2024</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August 8,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20">
        <w:r>
          <w:rPr>
            <w:rStyle w:val="InternetLink"/>
          </w:rPr>
          <w:t>our Definitive Proxy Statement on Schedule 14A (other than information furnished rather than filed), filed with the SEC on April 29,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information furnished rather than filed) filed with the SEC on </w:t>
      </w:r>
      <w:hyperlink r:id="rId21">
        <w:r>
          <w:rPr>
            <w:rStyle w:val="InternetLink"/>
          </w:rPr>
          <w:t>January 8, 2024</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February 15, 2024</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May 14,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May 22,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June 3,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June 24,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June 28, 2024</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August 8, 2024</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October 7,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30">
        <w:r>
          <w:rPr>
            <w:rStyle w:val="InternetLink"/>
          </w:rPr>
          <w:t>Form 8-A filed with the SEC on May 21, 2018</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common stock contained in Exhibit 4.4 to our </w:t>
      </w:r>
      <w:hyperlink r:id="rId31">
        <w:r>
          <w:rPr>
            <w:rStyle w:val="InternetLink"/>
          </w:rPr>
          <w:t>Annual Report on Form 10-K for the fiscal year ended December 31, 2023, as filed with the SEC on March 19, 2024</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this description.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written or oral request, we will provide, without charge, to each person, including any beneficial owner, to whom a copy of this prospectus supplement is delivered, a copy of the documents incorporated by reference into this prospectus supplement but not delivered with the prospectus. You may request a copy of these filings, and any exhibits we have specifically incorporated by reference as an exhibit in this prospectus supplement, at no cost by writing us at the following address: Investor Relations, Scholar Rock Holding Corporation, 301 Binney Street, 3rd Floor, Cambridge, MA 02142. Our website is located at www.scholarrock.com. The reference to our website is intended to be an inactive textual reference and, except for the documents incorporated by reference as noted above, the information on, or accessible through, our website is not intended to be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also access these documents, free of charge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or on our website at </w:t>
      </w:r>
      <w:r>
        <w:rPr>
          <w:rFonts w:ascii="Times New Roman;Times;serif" w:hAnsi="Times New Roman;Times;serif"/>
          <w:b w:val="false"/>
          <w:i/>
          <w:caps w:val="false"/>
          <w:smallCaps w:val="false"/>
          <w:color w:val="000000"/>
          <w:spacing w:val="4"/>
          <w:sz w:val="20"/>
        </w:rPr>
        <w:t>www.scholarrock.com</w:t>
      </w:r>
      <w:r>
        <w:rPr>
          <w:rFonts w:ascii="Times New Roman;Times;serif" w:hAnsi="Times New Roman;Times;serif"/>
          <w:b w:val="false"/>
          <w:i w:val="false"/>
          <w:caps w:val="false"/>
          <w:smallCaps w:val="false"/>
          <w:color w:val="000000"/>
          <w:spacing w:val="4"/>
          <w:sz w:val="20"/>
        </w:rPr>
        <w:t xml:space="preserve">.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unless specifically stated to the contrary, information that we furnish (and that is not deemed “filed” with the SEC) under Items 2.02 and 7.01 of any Current Reports on Form 8-K, including the related exhibits under Item 9.01, is not incorporated by reference into this prospectus supplement or the registration statement of which this prospectus supplement is a part.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750" w:after="283"/>
        <w:jc w:val="center"/>
        <w:rPr>
          <w:caps w:val="false"/>
          <w:smallCaps w:val="false"/>
          <w:color w:val="000000"/>
        </w:rPr>
      </w:pPr>
      <w:r>
        <w:rPr>
          <w:caps w:val="false"/>
          <w:smallCaps w:val="false"/>
          <w:color w:val="000000"/>
        </w:rPr>
        <w:drawing>
          <wp:inline distT="0" distB="0" distL="0" distR="0">
            <wp:extent cx="3200400" cy="790575"/>
            <wp:effectExtent l="0" t="0" r="0" b="0"/>
            <wp:docPr id="27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3" descr=""/>
                    <pic:cNvPicPr>
                      <a:picLocks noChangeAspect="1" noChangeArrowheads="1"/>
                    </pic:cNvPicPr>
                  </pic:nvPicPr>
                  <pic:blipFill>
                    <a:blip r:embed="rId32"/>
                    <a:stretch>
                      <a:fillRect/>
                    </a:stretch>
                  </pic:blipFill>
                  <pic:spPr bwMode="auto">
                    <a:xfrm>
                      <a:off x="0" y="0"/>
                      <a:ext cx="32004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180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Up to $200,000,000</w:t>
      </w:r>
      <w:r>
        <w:rPr>
          <w:rFonts w:ascii="Arial Narrow;Helvetica;sans-serif" w:hAnsi="Arial Narrow;Helvetica;sans-serif"/>
          <w:b/>
          <w:i w:val="false"/>
          <w:caps w:val="false"/>
          <w:smallCaps w:val="false"/>
          <w:color w:val="000000"/>
          <w:spacing w:val="6"/>
          <w:sz w:val="28"/>
        </w:rPr>
        <w:t xml:space="preserve"> </w:t>
      </w:r>
    </w:p>
    <w:p>
      <w:pPr>
        <w:pStyle w:val="TextBody"/>
        <w:bidi w:val="0"/>
        <w:spacing w:lineRule="atLeast" w:line="330" w:before="24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Common Stock</w:t>
      </w:r>
      <w:r>
        <w:rPr>
          <w:rFonts w:ascii="Arial Narrow;Helvetica;sans-serif" w:hAnsi="Arial Narrow;Helvetica;sans-serif"/>
          <w:b/>
          <w:i w:val="false"/>
          <w:caps w:val="false"/>
          <w:smallCaps w:val="false"/>
          <w:color w:val="000000"/>
          <w:sz w:val="28"/>
        </w:rPr>
        <w:t xml:space="preserve"> </w:t>
      </w:r>
    </w:p>
    <w:p>
      <w:pPr>
        <w:pStyle w:val="TextBody"/>
        <w:bidi w:val="0"/>
        <w:spacing w:before="165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340" w:after="283"/>
        <w:jc w:val="center"/>
        <w:rPr>
          <w:rFonts w:ascii="Arial Narrow;Helvetica;sans-serif" w:hAnsi="Arial Narrow;Helvetica;sans-serif"/>
          <w:b/>
          <w:i w:val="false"/>
          <w:caps w:val="false"/>
          <w:smallCaps w:val="false"/>
          <w:color w:val="000000"/>
          <w:sz w:val="24"/>
        </w:rPr>
      </w:pPr>
      <w:r>
        <w:rPr>
          <w:rFonts w:ascii="Arial Narrow;Helvetica;sans-serif" w:hAnsi="Arial Narrow;Helvetica;sans-serif"/>
          <w:b/>
          <w:i w:val="false"/>
          <w:caps/>
          <w:color w:val="000000"/>
          <w:spacing w:val="12"/>
          <w:sz w:val="24"/>
        </w:rPr>
        <w:t>PROSPECTUS</w:t>
      </w:r>
      <w:r>
        <w:rPr>
          <w:rFonts w:ascii="Arial Narrow;Helvetica;sans-serif" w:hAnsi="Arial Narrow;Helvetica;sans-serif"/>
          <w:b/>
          <w:i w:val="false"/>
          <w:caps w:val="false"/>
          <w:smallCaps w:val="false"/>
          <w:color w:val="000000"/>
          <w:spacing w:val="5"/>
          <w:sz w:val="24"/>
        </w:rPr>
        <w:t xml:space="preserve"> </w:t>
      </w:r>
    </w:p>
    <w:p>
      <w:pPr>
        <w:pStyle w:val="TextBody"/>
        <w:bidi w:val="0"/>
        <w:spacing w:before="26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70" w:before="154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val="false"/>
          <w:smallCaps w:val="false"/>
          <w:color w:val="000000"/>
          <w:spacing w:val="16"/>
          <w:sz w:val="32"/>
        </w:rPr>
        <w:t>Jefferies</w:t>
      </w:r>
      <w:r>
        <w:rPr>
          <w:rFonts w:ascii="Arial Narrow;Helvetica;sans-serif" w:hAnsi="Arial Narrow;Helvetica;sans-serif"/>
          <w:b/>
          <w:i w:val="false"/>
          <w:caps w:val="false"/>
          <w:smallCaps w:val="false"/>
          <w:color w:val="000000"/>
          <w:spacing w:val="6"/>
          <w:sz w:val="32"/>
        </w:rPr>
        <w:t xml:space="preserve"> </w:t>
      </w:r>
    </w:p>
    <w:p>
      <w:pPr>
        <w:pStyle w:val="TextBody"/>
        <w:bidi w:val="0"/>
        <w:spacing w:lineRule="atLeast" w:line="240" w:before="144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 xml:space="preserve">August </w:t>
      </w:r>
      <w:r>
        <w:rPr>
          <w:rFonts w:ascii="Arial;Helvetica;sans-serif" w:hAnsi="Arial;Helvetica;sans-serif"/>
          <w:b w:val="false"/>
          <w:i w:val="false"/>
          <w:caps w:val="false"/>
          <w:smallCaps w:val="false"/>
          <w:color w:val="000000"/>
          <w:spacing w:val="-7"/>
          <w:sz w:val="19"/>
        </w:rPr>
        <w:t>6, 2026</w:t>
      </w:r>
      <w:r>
        <w:rPr>
          <w:rFonts w:ascii="Arial;Helvetica;sans-serif" w:hAnsi="Arial;Helvetica;sans-serif"/>
          <w:b w:val="false"/>
          <w:i w:val="false"/>
          <w:caps w:val="false"/>
          <w:smallCaps w:val="false"/>
          <w:color w:val="000000"/>
          <w:sz w:val="19"/>
        </w:rPr>
        <w:t xml:space="preserve"> </w:t>
      </w:r>
    </w:p>
    <w:p>
      <w:pPr>
        <w:pStyle w:val="TextBody"/>
        <w:bidi w:val="0"/>
        <w:spacing w:before="183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7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1" w:name="tm2622083d1_ex-filingfees.htm"/>
      <w:bookmarkStart w:id="32" w:name="kstm2622083d1_exfilingfees"/>
      <w:bookmarkStart w:id="33" w:name="tm2622083d1_ex-filingfees.htm"/>
      <w:bookmarkStart w:id="34" w:name="kstm2622083d1_exfilingfees"/>
      <w:bookmarkEnd w:id="33"/>
      <w:bookmarkEnd w:id="34"/>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Scholar Rock Holding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The proposed maximum aggregate offering price is being used to calculate the registration fee pursuant to Rule 457(o) under the Securities Act of 1933, as amended. Calculated in accordance with Rule 456(b) and Rule 457(r) of the Securities Act of 1933, as amended. This "Calculation of Registration Fee" table shall be deemed to update the "Calculation of Registration Fee" table in the registrant's registration statement on Form S-3ASR filed with the Securities and Exchange Commission on October 7, 2024 (File No. 333-282530).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Helvetica"/>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727196/000110465926022551/srrk-20251231x10k.htm" TargetMode="External"/><Relationship Id="rId4" Type="http://schemas.openxmlformats.org/officeDocument/2006/relationships/hyperlink" Target="https://www.sec.gov/ix?doc=/Archives/edgar/data/1727196/000110465926022551/srrk-20251231x10k.htm" TargetMode="External"/><Relationship Id="rId5" Type="http://schemas.openxmlformats.org/officeDocument/2006/relationships/hyperlink" Target="http://www.sec.gov/ix?doc=/Archives/edgar/data/1727196/000110465926022551/srrk-20251231x10k.htm" TargetMode="External"/><Relationship Id="rId6" Type="http://schemas.openxmlformats.org/officeDocument/2006/relationships/hyperlink" Target="http://www.sec.gov/ix?doc=/Archives/edgar/data/1727196/000110465926056667/srrk-20260331x10q.htm" TargetMode="External"/><Relationship Id="rId7" Type="http://schemas.openxmlformats.org/officeDocument/2006/relationships/hyperlink" Target="https://www.sec.gov/ix?doc=/Archives/edgar/data/1727196/000119312526336732/srrk-20260630.htm" TargetMode="External"/><Relationship Id="rId8" Type="http://schemas.openxmlformats.org/officeDocument/2006/relationships/hyperlink" Target="http://www.sec.gov/ix?doc=/Archives/edgar/data/1727196/000110465926037350/tm2610664d1_8k.htm" TargetMode="External"/><Relationship Id="rId9" Type="http://schemas.openxmlformats.org/officeDocument/2006/relationships/hyperlink" Target="http://www.sec.gov/ix?doc=/Archives/edgar/data/1727196/000110465926070636/srrk-20260604x8k.htm" TargetMode="External"/><Relationship Id="rId10" Type="http://schemas.openxmlformats.org/officeDocument/2006/relationships/hyperlink" Target="http://www.sec.gov/ix?doc=/Archives/edgar/data/1727196/000110465926046917/tm261440-1_def14a.htm" TargetMode="External"/><Relationship Id="rId11" Type="http://schemas.openxmlformats.org/officeDocument/2006/relationships/hyperlink" Target="http://www.sec.gov/Archives/edgar/data/1727196/000110465918034869/a18-8552_78a12b.htm" TargetMode="External"/><Relationship Id="rId12" Type="http://schemas.openxmlformats.org/officeDocument/2006/relationships/image" Target="media/image2.jpeg"/><Relationship Id="rId13" Type="http://schemas.openxmlformats.org/officeDocument/2006/relationships/hyperlink" Target="http://www.sec.gov/ix?doc=/Archives/edgar/data/1727196/000155837024003540/srrk-20231231x10k.htm" TargetMode="External"/><Relationship Id="rId14" Type="http://schemas.openxmlformats.org/officeDocument/2006/relationships/hyperlink" Target="http://www.sec.gov/ix?doc=/Archives/edgar/data/1727196/000155837024006908/srrk-20240331x10q.htm" TargetMode="External"/><Relationship Id="rId15" Type="http://schemas.openxmlformats.org/officeDocument/2006/relationships/hyperlink" Target="http://www.sec.gov/ix?doc=/Archives/edgar/data/1727196/000155837024011461/srrk-20240630x10q.htm" TargetMode="External"/><Relationship Id="rId16" Type="http://schemas.openxmlformats.org/officeDocument/2006/relationships/hyperlink" Target="http://www.sec.gov/ix?doc=/Archives/edgar/data/1727196/000155837024003540/srrk-20231231x10k.htm" TargetMode="External"/><Relationship Id="rId17" Type="http://schemas.openxmlformats.org/officeDocument/2006/relationships/hyperlink" Target="http://www.sec.gov/ix?doc=/Archives/edgar/data/1727196/000155837024003540/srrk-20231231x10k.htm" TargetMode="External"/><Relationship Id="rId18" Type="http://schemas.openxmlformats.org/officeDocument/2006/relationships/hyperlink" Target="http://www.sec.gov/ix?doc=/Archives/edgar/data/1727196/000155837024006908/srrk-20240331x10q.htm" TargetMode="External"/><Relationship Id="rId19" Type="http://schemas.openxmlformats.org/officeDocument/2006/relationships/hyperlink" Target="http://www.sec.gov/ix?doc=/Archives/edgar/data/1727196/000155837024011461/srrk-20240630x10q.htm" TargetMode="External"/><Relationship Id="rId20" Type="http://schemas.openxmlformats.org/officeDocument/2006/relationships/hyperlink" Target="https://www.sec.gov/Archives/edgar/data/1727196/000110465924053978/tm242728-2_def14a.htm" TargetMode="External"/><Relationship Id="rId21" Type="http://schemas.openxmlformats.org/officeDocument/2006/relationships/hyperlink" Target="http://www.sec.gov/ix?doc=/Archives/edgar/data/1727196/000115752324000027/a53878319.htm" TargetMode="External"/><Relationship Id="rId22" Type="http://schemas.openxmlformats.org/officeDocument/2006/relationships/hyperlink" Target="http://www.sec.gov/ix?doc=/Archives/edgar/data/1727196/000110465924024369/tm246269d1_8k.htm" TargetMode="External"/><Relationship Id="rId23" Type="http://schemas.openxmlformats.org/officeDocument/2006/relationships/hyperlink" Target="http://www.sec.gov/ix?doc=/Archives/edgar/data/1727196/000155837024008057/srrk-20240514x8k.htm" TargetMode="External"/><Relationship Id="rId24" Type="http://schemas.openxmlformats.org/officeDocument/2006/relationships/hyperlink" Target="http://www.sec.gov/ix?doc=/Archives/edgar/data/1727196/000155837024008556/srrk-20240517x8k.htm" TargetMode="External"/><Relationship Id="rId25" Type="http://schemas.openxmlformats.org/officeDocument/2006/relationships/hyperlink" Target="http://www.sec.gov/ix?doc=/Archives/edgar/data/1727196/000155837024008865/srrk-20240603x8k.htm" TargetMode="External"/><Relationship Id="rId26" Type="http://schemas.openxmlformats.org/officeDocument/2006/relationships/hyperlink" Target="http://www.sec.gov/ix?doc=/Archives/edgar/data/1727196/000155837024009419/srrk-20240624x8k.htm" TargetMode="External"/><Relationship Id="rId27" Type="http://schemas.openxmlformats.org/officeDocument/2006/relationships/hyperlink" Target="http://www.sec.gov/ix?doc=/Archives/edgar/data/1727196/000155837024009582/srrk-20240627x8k.htm" TargetMode="External"/><Relationship Id="rId28" Type="http://schemas.openxmlformats.org/officeDocument/2006/relationships/hyperlink" Target="http://www.sec.gov/ix?doc=/Archives/edgar/data/1727196/000155837024011465/srrk-20240808x8k.htm" TargetMode="External"/><Relationship Id="rId29" Type="http://schemas.openxmlformats.org/officeDocument/2006/relationships/hyperlink" Target="https://www.sec.gov/ix?doc=/Archives/edgar/data/1727196/000110465924106461/tm2425688d7_8k.htm" TargetMode="External"/><Relationship Id="rId30" Type="http://schemas.openxmlformats.org/officeDocument/2006/relationships/hyperlink" Target="http://www.sec.gov/Archives/edgar/data/1727196/000110465918034869/a18-8552_78a12b.htm" TargetMode="External"/><Relationship Id="rId31" Type="http://schemas.openxmlformats.org/officeDocument/2006/relationships/hyperlink" Target="http://www.sec.gov/ix?doc=/Archives/edgar/data/1727196/000155837024003540/srrk-20231231x10k.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35374</Words>
  <Characters>186850</Characters>
  <CharactersWithSpaces>223454</CharactersWithSpaces>
  <Paragraphs>1991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