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0001980298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Scholar Rock Holding Corp.</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001-38501</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301 Binney Street, 3rd Floor</w:t>
              <w:br/>
              <w:t>Cambridge</w:t>
              <w:br/>
              <w:t xml:space="preserve">MASSACHUSETTS </w:t>
              <w:br/>
              <w:t>02142</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857-259-3860</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Mohammed Qatanani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11704</w:t>
            </w:r>
          </w:p>
        </w:tc>
        <w:tc>
          <w:tcPr>
            <w:tcW w:w="1388" w:type="dxa"/>
            <w:tcBorders/>
            <w:vAlign w:val="center"/>
          </w:tcPr>
          <w:p>
            <w:pPr>
              <w:pStyle w:val="TableContents"/>
              <w:bidi w:val="0"/>
              <w:spacing w:before="0" w:after="283"/>
              <w:jc w:val="left"/>
              <w:rPr/>
            </w:pPr>
            <w:r>
              <w:rPr/>
              <w:t>639975</w:t>
            </w:r>
          </w:p>
        </w:tc>
        <w:tc>
          <w:tcPr>
            <w:tcW w:w="1562" w:type="dxa"/>
            <w:tcBorders/>
            <w:vAlign w:val="center"/>
          </w:tcPr>
          <w:p>
            <w:pPr>
              <w:pStyle w:val="TableContents"/>
              <w:bidi w:val="0"/>
              <w:spacing w:before="0" w:after="283"/>
              <w:jc w:val="left"/>
              <w:rPr/>
            </w:pPr>
            <w:r>
              <w:rPr/>
              <w:t>119828338</w:t>
            </w:r>
          </w:p>
        </w:tc>
        <w:tc>
          <w:tcPr>
            <w:tcW w:w="1573" w:type="dxa"/>
            <w:tcBorders/>
            <w:vAlign w:val="center"/>
          </w:tcPr>
          <w:p>
            <w:pPr>
              <w:pStyle w:val="TableContents"/>
              <w:bidi w:val="0"/>
              <w:spacing w:before="0" w:after="283"/>
              <w:jc w:val="left"/>
              <w:rPr/>
            </w:pPr>
            <w:r>
              <w:rPr/>
              <w:t>07/06/2026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11704</w:t>
            </w:r>
          </w:p>
        </w:tc>
        <w:tc>
          <w:tcPr>
            <w:tcW w:w="1078" w:type="dxa"/>
            <w:tcBorders/>
            <w:vAlign w:val="center"/>
          </w:tcPr>
          <w:p>
            <w:pPr>
              <w:pStyle w:val="TableContents"/>
              <w:bidi w:val="0"/>
              <w:spacing w:before="0" w:after="283"/>
              <w:jc w:val="left"/>
              <w:rPr/>
            </w:pPr>
            <w:r>
              <w:rPr/>
              <w:t>07/06/2026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942"/>
        <w:gridCol w:w="945"/>
        <w:gridCol w:w="1562"/>
        <w:gridCol w:w="1685"/>
      </w:tblGrid>
      <w:tr>
        <w:trPr/>
        <w:tc>
          <w:tcPr>
            <w:tcW w:w="3071"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Mohammed Qatanani</w:t>
              <w:br/>
              <w:t>301 Binney Street, 3rd Floor</w:t>
              <w:br/>
              <w:t>Cambridge   MA   02142</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04/06/2026</w:t>
            </w:r>
          </w:p>
        </w:tc>
        <w:tc>
          <w:tcPr>
            <w:tcW w:w="1562" w:type="dxa"/>
            <w:tcBorders/>
            <w:vAlign w:val="center"/>
          </w:tcPr>
          <w:p>
            <w:pPr>
              <w:pStyle w:val="TableContents"/>
              <w:bidi w:val="0"/>
              <w:spacing w:before="0" w:after="283"/>
              <w:jc w:val="left"/>
              <w:rPr/>
            </w:pPr>
            <w:r>
              <w:rPr/>
              <w:t>11704</w:t>
            </w:r>
          </w:p>
        </w:tc>
        <w:tc>
          <w:tcPr>
            <w:tcW w:w="1685" w:type="dxa"/>
            <w:tcBorders/>
            <w:vAlign w:val="center"/>
          </w:tcPr>
          <w:p>
            <w:pPr>
              <w:pStyle w:val="TableContents"/>
              <w:bidi w:val="0"/>
              <w:spacing w:before="0" w:after="283"/>
              <w:jc w:val="left"/>
              <w:rPr/>
            </w:pPr>
            <w:r>
              <w:rPr/>
              <w:t>578062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44"/>
        <w:gridCol w:w="5561"/>
      </w:tblGrid>
      <w:tr>
        <w:trPr/>
        <w:tc>
          <w:tcPr>
            <w:tcW w:w="4644" w:type="dxa"/>
            <w:tcBorders/>
            <w:vAlign w:val="center"/>
          </w:tcPr>
          <w:p>
            <w:pPr>
              <w:pStyle w:val="TableContents"/>
              <w:bidi w:val="0"/>
              <w:spacing w:before="0" w:after="283"/>
              <w:jc w:val="left"/>
              <w:rPr/>
            </w:pPr>
            <w:r>
              <w:rPr/>
              <w:t>Remarks</w:t>
            </w:r>
          </w:p>
        </w:tc>
        <w:tc>
          <w:tcPr>
            <w:tcW w:w="5561" w:type="dxa"/>
            <w:tcBorders/>
            <w:vAlign w:val="center"/>
          </w:tcPr>
          <w:p>
            <w:pPr>
              <w:pStyle w:val="TableContents"/>
              <w:bidi w:val="0"/>
              <w:spacing w:before="0" w:after="283"/>
              <w:jc w:val="left"/>
              <w:rPr>
                <w:sz w:val="4"/>
                <w:szCs w:val="4"/>
              </w:rPr>
            </w:pPr>
            <w:r>
              <w:rPr>
                <w:sz w:val="4"/>
                <w:szCs w:val="4"/>
              </w:rPr>
            </w:r>
          </w:p>
        </w:tc>
      </w:tr>
      <w:tr>
        <w:trPr/>
        <w:tc>
          <w:tcPr>
            <w:tcW w:w="4644" w:type="dxa"/>
            <w:tcBorders/>
            <w:vAlign w:val="center"/>
          </w:tcPr>
          <w:p>
            <w:pPr>
              <w:pStyle w:val="TableContents"/>
              <w:bidi w:val="0"/>
              <w:spacing w:before="0" w:after="283"/>
              <w:jc w:val="left"/>
              <w:rPr/>
            </w:pPr>
            <w:r>
              <w:rPr/>
              <w:t>Date of Notice</w:t>
            </w:r>
          </w:p>
        </w:tc>
        <w:tc>
          <w:tcPr>
            <w:tcW w:w="5561" w:type="dxa"/>
            <w:tcBorders/>
            <w:vAlign w:val="center"/>
          </w:tcPr>
          <w:p>
            <w:pPr>
              <w:pStyle w:val="TableContents"/>
              <w:bidi w:val="0"/>
              <w:spacing w:before="0" w:after="0"/>
              <w:jc w:val="left"/>
              <w:rPr/>
            </w:pPr>
            <w:r>
              <w:rPr/>
              <w:t>07/06/2026</w:t>
            </w:r>
          </w:p>
        </w:tc>
      </w:tr>
      <w:tr>
        <w:trPr/>
        <w:tc>
          <w:tcPr>
            <w:tcW w:w="4644" w:type="dxa"/>
            <w:tcBorders/>
            <w:vAlign w:val="center"/>
          </w:tcPr>
          <w:p>
            <w:pPr>
              <w:pStyle w:val="TableContents"/>
              <w:bidi w:val="0"/>
              <w:spacing w:before="0" w:after="283"/>
              <w:jc w:val="left"/>
              <w:rPr/>
            </w:pPr>
            <w:r>
              <w:rPr/>
              <w:t>Date of Plan Adoption or Giving of Instruction, If Relying on Rule 10b5-1</w:t>
            </w:r>
          </w:p>
        </w:tc>
        <w:tc>
          <w:tcPr>
            <w:tcW w:w="5561" w:type="dxa"/>
            <w:tcBorders/>
            <w:vAlign w:val="center"/>
          </w:tcPr>
          <w:p>
            <w:pPr>
              <w:pStyle w:val="TableContents"/>
              <w:bidi w:val="0"/>
              <w:spacing w:before="0" w:after="0"/>
              <w:jc w:val="left"/>
              <w:rPr/>
            </w:pPr>
            <w:r>
              <w:rPr/>
              <w:t>03/31/2025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44" w:type="dxa"/>
            <w:tcBorders/>
            <w:vAlign w:val="center"/>
          </w:tcPr>
          <w:p>
            <w:pPr>
              <w:pStyle w:val="TableContents"/>
              <w:bidi w:val="0"/>
              <w:spacing w:before="0" w:after="283"/>
              <w:jc w:val="left"/>
              <w:rPr/>
            </w:pPr>
            <w:r>
              <w:rPr/>
              <w:t>Signature</w:t>
            </w:r>
          </w:p>
        </w:tc>
        <w:tc>
          <w:tcPr>
            <w:tcW w:w="5561" w:type="dxa"/>
            <w:tcBorders/>
            <w:vAlign w:val="center"/>
          </w:tcPr>
          <w:p>
            <w:pPr>
              <w:pStyle w:val="TableContents"/>
              <w:bidi w:val="0"/>
              <w:spacing w:before="0" w:after="0"/>
              <w:jc w:val="left"/>
              <w:rPr/>
            </w:pPr>
            <w:r>
              <w:rPr/>
              <w:t>/s/ J.P. Morgan Securities LLC as agent and attorney-in-fact for Mohammed Qatanani.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3175</Characters>
  <CharactersWithSpaces>3740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