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Burow Kristina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BINNEY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Scholar Rock Holding Corp</w:t>
              </w:r>
            </w:hyperlink>
            <w:r>
              <w:rPr/>
              <w:t xml:space="preserve"> [ </w:t>
            </w:r>
            <w:r>
              <w:rPr>
                <w:rFonts w:ascii="Times;serif" w:hAnsi="Times;serif"/>
                <w:color w:val="0000FF"/>
                <w:sz w:val="24"/>
                <w:shd w:fill="FFFFFF" w:val="clear"/>
              </w:rPr>
              <w:t>SRRK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4"/>
        <w:gridCol w:w="911"/>
        <w:gridCol w:w="781"/>
        <w:gridCol w:w="604"/>
        <w:gridCol w:w="340"/>
        <w:gridCol w:w="860"/>
        <w:gridCol w:w="425"/>
        <w:gridCol w:w="982"/>
        <w:gridCol w:w="1248"/>
        <w:gridCol w:w="966"/>
        <w:gridCol w:w="10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2,105</w:t>
            </w:r>
            <w:r>
              <w:rPr>
                <w:rFonts w:ascii="Times;serif" w:hAnsi="Times;serif"/>
                <w:color w:val="008000"/>
                <w:position w:val="7"/>
                <w:sz w:val="16"/>
                <w:sz w:val="20"/>
                <w:shd w:fill="FFFFFF" w:val="clear"/>
              </w:rPr>
              <w:t>(1)</w:t>
            </w:r>
            <w:r>
              <w:rPr/>
              <w:t xml:space="preserve"> </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53.494</w:t>
            </w:r>
            <w:r>
              <w:rPr>
                <w:rFonts w:ascii="Times;serif" w:hAnsi="Times;serif"/>
                <w:color w:val="008000"/>
                <w:position w:val="7"/>
                <w:sz w:val="16"/>
                <w:sz w:val="20"/>
                <w:shd w:fill="FFFFFF" w:val="clear"/>
              </w:rPr>
              <w:t>(2)</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115,605</w:t>
            </w:r>
            <w:r>
              <w:rPr>
                <w:rFonts w:ascii="Times;serif" w:hAnsi="Times;serif"/>
                <w:color w:val="008000"/>
                <w:position w:val="7"/>
                <w:sz w:val="16"/>
                <w:sz w:val="20"/>
                <w:shd w:fill="FFFFFF" w:val="clear"/>
              </w:rPr>
              <w:t>(3)</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948</w:t>
            </w:r>
            <w:r>
              <w:rPr>
                <w:rFonts w:ascii="Times;serif" w:hAnsi="Times;serif"/>
                <w:color w:val="008000"/>
                <w:position w:val="7"/>
                <w:sz w:val="16"/>
                <w:sz w:val="20"/>
                <w:shd w:fill="FFFFFF" w:val="clear"/>
              </w:rPr>
              <w:t>(1)</w:t>
            </w:r>
            <w:r>
              <w:rPr/>
              <w:t xml:space="preserve"> </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54.2816</w:t>
            </w:r>
            <w:r>
              <w:rPr>
                <w:rFonts w:ascii="Times;serif" w:hAnsi="Times;serif"/>
                <w:color w:val="008000"/>
                <w:position w:val="7"/>
                <w:sz w:val="16"/>
                <w:sz w:val="20"/>
                <w:shd w:fill="FFFFFF" w:val="clear"/>
              </w:rPr>
              <w:t>(4)</w:t>
            </w:r>
            <w:r>
              <w:rPr/>
              <w:t xml:space="preserve"> </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114,657</w:t>
            </w:r>
            <w:r>
              <w:rPr>
                <w:rFonts w:ascii="Times;serif" w:hAnsi="Times;serif"/>
                <w:color w:val="008000"/>
                <w:position w:val="7"/>
                <w:sz w:val="16"/>
                <w:sz w:val="20"/>
                <w:shd w:fill="FFFFFF" w:val="clear"/>
              </w:rPr>
              <w:t>(5)</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2,345,711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(6)(7)</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effected pursuant to a Rule 10b-5-1 trading plan adopted on March 31, 2026 to cover tax obligations upon the vesting and settlement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sold in multiple transactions at prices ranging from $53.050 to $54.030, inclusive. Full information regarding the number of shares sold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108,766 shares of common stock and 6,839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sold in multiple transactions at prices ranging from $54.040 to $54.795, inclusive. Full information regarding the number of shares sold at each separate price can be furnished to the SEC staff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Consists of 107,818 shares of common stock and 6,839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ARCH Venture Fund VIII, L.P. ("ARCH VIII"). ARCH Venture Partners VIII, L.P. ("GPLP"), as the sole general partner of ARCH VIII, may be deemed to beneficially own the shares held by ARCH VIII. ARCH Venture Partners VIII, LLC ("GPLLC"), as the sole general partner of GPLP, may be deemed to beneficially own the shares held by GPLP. The GPLP and GPLLC disclaim beneficial ownership of such securities,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managing directors of the GPLLC are Keith L. Crandell, Clinton Bybee and Robert Nelsen, and they may be deemed to beneficially own the shares held by ARCH VIII. Messrs. Crandell, Bybee and Nelsen disclaim beneficial ownership of such shares, except to the extent of any pecuniary interest therein. The Reporting Person is a managing director of the GPLP. The Reporting Person owns an interest in the GPLP but does not have voting or investment control over the shares held by ARCH VIII. The Reporting Person disclaims ownership of such shares, except to the extent of her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Junlin Ho, attorney-in-fact for Kristina Burow</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69248" TargetMode="External"/><Relationship Id="rId5" Type="http://schemas.openxmlformats.org/officeDocument/2006/relationships/hyperlink" Target="http://www.sec.gov/cgi-bin/browse-edgar?action=getcompany&amp;CIK=00017271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906</Words>
  <Characters>4781</Characters>
  <CharactersWithSpaces>5616</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