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438d1_8k.htm"/>
      <w:bookmarkStart w:id="1" w:name="kstm262543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center"/>
        <w:rPr>
          <w:b/>
          <w:sz w:val="20"/>
        </w:rPr>
      </w:pPr>
      <w:r>
        <w:rPr>
          <w:b/>
          <w:sz w:val="20"/>
        </w:rPr>
        <w:t>UNITED STATES</w:t>
        <w:br/>
        <w:t>SECURITIES AND EXCHANGE COMMISSION</w:t>
        <w:br/>
        <w:t>Washington, D.C. 20549</w:t>
      </w:r>
    </w:p>
    <w:p>
      <w:pPr>
        <w:pStyle w:val="TextBody"/>
        <w:pBdr>
          <w:bottom w:val="single" w:sz="8"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 xml:space="preserve">FORM </w:t>
      </w:r>
      <w:bookmarkStart w:id="2" w:name="xdx_90D_edei--DocumentType_c20260915__20"/>
      <w:bookmarkEnd w:id="2"/>
      <w:r>
        <w:rPr>
          <w:b/>
          <w:sz w:val="20"/>
        </w:rPr>
        <w:t>8-K</w:t>
      </w:r>
    </w:p>
    <w:p>
      <w:pPr>
        <w:pStyle w:val="TextBody"/>
        <w:bidi w:val="0"/>
        <w:spacing w:before="0" w:after="0"/>
        <w:jc w:val="center"/>
        <w:rPr/>
      </w:pPr>
      <w:r>
        <w:rPr/>
        <w:t> </w:t>
      </w:r>
    </w:p>
    <w:p>
      <w:pPr>
        <w:pStyle w:val="TextBody"/>
        <w:pBdr>
          <w:top w:val="single" w:sz="8" w:space="1" w:color="000000"/>
        </w:pBdr>
        <w:bidi w:val="0"/>
        <w:spacing w:before="0" w:after="0"/>
        <w:jc w:val="center"/>
        <w:rPr/>
      </w:pPr>
      <w:r>
        <w:rPr/>
        <w:t> </w:t>
      </w:r>
    </w:p>
    <w:p>
      <w:pPr>
        <w:pStyle w:val="TextBody"/>
        <w:bidi w:val="0"/>
        <w:spacing w:before="0" w:after="0"/>
        <w:jc w:val="center"/>
        <w:rPr>
          <w:b/>
        </w:rPr>
      </w:pPr>
      <w:r>
        <w:rPr>
          <w:b/>
        </w:rPr>
        <w:t>CURRENT REPORT</w:t>
      </w:r>
    </w:p>
    <w:p>
      <w:pPr>
        <w:pStyle w:val="TextBody"/>
        <w:bidi w:val="0"/>
        <w:spacing w:before="0" w:after="0"/>
        <w:jc w:val="center"/>
        <w:rPr/>
      </w:pPr>
      <w:r>
        <w:rPr/>
        <w:t> </w:t>
      </w:r>
    </w:p>
    <w:p>
      <w:pPr>
        <w:pStyle w:val="TextBody"/>
        <w:bidi w:val="0"/>
        <w:spacing w:before="0" w:after="0"/>
        <w:jc w:val="center"/>
        <w:rPr>
          <w:b/>
        </w:rPr>
      </w:pPr>
      <w:r>
        <w:rPr>
          <w:b/>
        </w:rPr>
        <w:t>Pursuant to Section 13 or 15(d) of the Securities Exchange Act of 1934</w:t>
      </w:r>
    </w:p>
    <w:p>
      <w:pPr>
        <w:pStyle w:val="TextBody"/>
        <w:bidi w:val="0"/>
        <w:spacing w:before="0" w:after="0"/>
        <w:jc w:val="center"/>
        <w:rPr/>
      </w:pPr>
      <w:r>
        <w:rPr/>
        <w:t> </w:t>
      </w:r>
    </w:p>
    <w:p>
      <w:pPr>
        <w:pStyle w:val="TextBody"/>
        <w:bidi w:val="0"/>
        <w:spacing w:before="0" w:after="0"/>
        <w:jc w:val="center"/>
        <w:rPr/>
      </w:pPr>
      <w:r>
        <w:rPr/>
        <w:t xml:space="preserve">Date of Report (Date of earliest event Reported): </w:t>
      </w:r>
      <w:bookmarkStart w:id="3" w:name="xdx_906_edei--DocumentPeriodEndDate_c202"/>
      <w:bookmarkEnd w:id="3"/>
      <w:r>
        <w:rPr/>
        <w:t xml:space="preserve">September 15, 2026 </w:t>
      </w:r>
    </w:p>
    <w:p>
      <w:pPr>
        <w:pStyle w:val="TextBody"/>
        <w:bidi w:val="0"/>
        <w:spacing w:before="0" w:after="0"/>
        <w:jc w:val="center"/>
        <w:rPr/>
      </w:pPr>
      <w:r>
        <w:rPr/>
        <w:t> </w:t>
      </w:r>
    </w:p>
    <w:p>
      <w:pPr>
        <w:pStyle w:val="TextBody"/>
        <w:bidi w:val="0"/>
        <w:spacing w:before="0" w:after="0"/>
        <w:jc w:val="center"/>
        <w:rPr/>
      </w:pPr>
      <w:bookmarkStart w:id="4" w:name="xdx_909_edei--EntityRegistrantName_c2026"/>
      <w:bookmarkEnd w:id="4"/>
      <w:r>
        <w:rPr>
          <w:b/>
          <w:sz w:val="28"/>
        </w:rPr>
        <w:t>Scholar Rock Holding Corporation</w:t>
      </w:r>
      <w:r>
        <w:rPr/>
        <w:br/>
        <w:t>(Exact Name of Registrant as Specified in Charter)</w:t>
      </w:r>
    </w:p>
    <w:p>
      <w:pPr>
        <w:pStyle w:val="TextBody"/>
        <w:bidi w:val="0"/>
        <w:spacing w:before="0" w:after="0"/>
        <w:jc w:val="center"/>
        <w:rPr/>
      </w:pPr>
      <w:r>
        <w:rPr/>
        <w:t> </w:t>
      </w:r>
    </w:p>
    <w:tbl>
      <w:tblPr>
        <w:tblW w:w="9315" w:type="dxa"/>
        <w:jc w:val="left"/>
        <w:tblInd w:w="0" w:type="dxa"/>
        <w:tblLayout w:type="fixed"/>
        <w:tblCellMar>
          <w:top w:w="0" w:type="dxa"/>
          <w:left w:w="0" w:type="dxa"/>
          <w:bottom w:w="0" w:type="dxa"/>
          <w:right w:w="0" w:type="dxa"/>
        </w:tblCellMar>
      </w:tblPr>
      <w:tblGrid>
        <w:gridCol w:w="2825"/>
        <w:gridCol w:w="2615"/>
        <w:gridCol w:w="3875"/>
      </w:tblGrid>
      <w:tr>
        <w:trPr/>
        <w:tc>
          <w:tcPr>
            <w:tcW w:w="2825" w:type="dxa"/>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2615" w:type="dxa"/>
            <w:tcBorders/>
            <w:vAlign w:val="center"/>
          </w:tcPr>
          <w:p>
            <w:pPr>
              <w:pStyle w:val="TableContents"/>
              <w:bidi w:val="0"/>
              <w:spacing w:before="0" w:after="283"/>
              <w:jc w:val="center"/>
              <w:rPr>
                <w:b/>
              </w:rPr>
            </w:pPr>
            <w:bookmarkStart w:id="6" w:name="xdx_90A_edei--EntityFileNumber_c20260915"/>
            <w:bookmarkEnd w:id="6"/>
            <w:r>
              <w:rPr>
                <w:b/>
              </w:rPr>
              <w:t>001-38501</w:t>
            </w:r>
          </w:p>
        </w:tc>
        <w:tc>
          <w:tcPr>
            <w:tcW w:w="3875" w:type="dxa"/>
            <w:tcBorders/>
            <w:vAlign w:val="center"/>
          </w:tcPr>
          <w:p>
            <w:pPr>
              <w:pStyle w:val="TableContents"/>
              <w:bidi w:val="0"/>
              <w:spacing w:before="0" w:after="283"/>
              <w:jc w:val="center"/>
              <w:rPr>
                <w:b/>
              </w:rPr>
            </w:pPr>
            <w:bookmarkStart w:id="7" w:name="xdx_907_edei--EntityTaxIdentificationNum"/>
            <w:bookmarkEnd w:id="7"/>
            <w:r>
              <w:rPr>
                <w:b/>
              </w:rPr>
              <w:t>82-3750435</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2615" w:type="dxa"/>
            <w:tcBorders/>
            <w:vAlign w:val="center"/>
          </w:tcPr>
          <w:p>
            <w:pPr>
              <w:pStyle w:val="TableContents"/>
              <w:bidi w:val="0"/>
              <w:spacing w:before="0" w:after="283"/>
              <w:jc w:val="center"/>
              <w:rPr/>
            </w:pPr>
            <w:r>
              <w:rPr/>
              <w:t>(Commission File Number)</w:t>
            </w:r>
          </w:p>
        </w:tc>
        <w:tc>
          <w:tcPr>
            <w:tcW w:w="3875" w:type="dxa"/>
            <w:tcBorders/>
            <w:vAlign w:val="center"/>
          </w:tcPr>
          <w:p>
            <w:pPr>
              <w:pStyle w:val="TableContents"/>
              <w:bidi w:val="0"/>
              <w:spacing w:before="0" w:after="283"/>
              <w:jc w:val="center"/>
              <w:rPr/>
            </w:pPr>
            <w:r>
              <w:rPr/>
              <w:t>(I.R.S. Employer Identification Number)</w:t>
            </w:r>
          </w:p>
        </w:tc>
      </w:tr>
      <w:tr>
        <w:trPr/>
        <w:tc>
          <w:tcPr>
            <w:tcW w:w="28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9315" w:type="dxa"/>
            <w:gridSpan w:val="3"/>
            <w:tcBorders/>
            <w:vAlign w:val="center"/>
          </w:tcPr>
          <w:p>
            <w:pPr>
              <w:pStyle w:val="TableContents"/>
              <w:bidi w:val="0"/>
              <w:spacing w:before="0" w:after="283"/>
              <w:jc w:val="center"/>
              <w:rPr>
                <w:b/>
              </w:rPr>
            </w:pPr>
            <w:bookmarkStart w:id="8" w:name="xdx_90A_edei--EntityAddressAddressLine1_"/>
            <w:bookmarkEnd w:id="8"/>
            <w:r>
              <w:rPr>
                <w:b/>
              </w:rPr>
              <w:t xml:space="preserve">301 Binney Street, </w:t>
            </w:r>
            <w:bookmarkStart w:id="9" w:name="xdx_906_edei--EntityAddressAddressLine2_"/>
            <w:bookmarkEnd w:id="9"/>
            <w:r>
              <w:rPr>
                <w:b/>
              </w:rPr>
              <w:t xml:space="preserve">3rd Floor, </w:t>
            </w:r>
            <w:bookmarkStart w:id="10" w:name="xdx_90B_edei--EntityAddressCityOrTown_c2"/>
            <w:bookmarkEnd w:id="10"/>
            <w:r>
              <w:rPr>
                <w:b/>
              </w:rPr>
              <w:t xml:space="preserve">Cambridge, </w:t>
            </w:r>
            <w:bookmarkStart w:id="11" w:name="xdx_905_edei--EntityAddressStateOrProvin"/>
            <w:bookmarkEnd w:id="11"/>
            <w:r>
              <w:rPr>
                <w:b/>
              </w:rPr>
              <w:t xml:space="preserve">MA </w:t>
            </w:r>
            <w:bookmarkStart w:id="12" w:name="xdx_903_edei--EntityAddressPostalZipCode"/>
            <w:bookmarkEnd w:id="12"/>
            <w:r>
              <w:rPr>
                <w:b/>
              </w:rPr>
              <w:t>02142</w:t>
            </w:r>
          </w:p>
        </w:tc>
      </w:tr>
      <w:tr>
        <w:trPr/>
        <w:tc>
          <w:tcPr>
            <w:tcW w:w="9315" w:type="dxa"/>
            <w:gridSpan w:val="3"/>
            <w:tcBorders/>
            <w:vAlign w:val="center"/>
          </w:tcPr>
          <w:p>
            <w:pPr>
              <w:pStyle w:val="TableContents"/>
              <w:bidi w:val="0"/>
              <w:spacing w:before="0" w:after="283"/>
              <w:jc w:val="center"/>
              <w:rPr/>
            </w:pPr>
            <w:r>
              <w:rPr/>
              <w:t>(Address of Principal Executive Offices) (Zip Code)</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rPr>
      </w:pPr>
      <w:r>
        <w:rPr>
          <w:rFonts w:ascii="Times New Roman;Times;Serif" w:hAnsi="Times New Roman;Times;Serif"/>
          <w:b/>
        </w:rPr>
        <w:t>(</w:t>
      </w:r>
      <w:bookmarkStart w:id="13" w:name="xdx_90C_edei--CityAreaCode_c20260915__20"/>
      <w:bookmarkEnd w:id="13"/>
      <w:r>
        <w:rPr>
          <w:rFonts w:ascii="Times New Roman;Times;Serif" w:hAnsi="Times New Roman;Times;Serif"/>
          <w:b/>
        </w:rPr>
        <w:t xml:space="preserve">857) </w:t>
      </w:r>
      <w:bookmarkStart w:id="14" w:name="xdx_90E_edei--LocalPhoneNumber_c20260915"/>
      <w:bookmarkEnd w:id="14"/>
      <w:r>
        <w:rPr>
          <w:rFonts w:ascii="Times New Roman;Times;Serif" w:hAnsi="Times New Roman;Times;Serif"/>
          <w:b/>
        </w:rPr>
        <w:t>259-3860</w:t>
      </w:r>
    </w:p>
    <w:p>
      <w:pPr>
        <w:pStyle w:val="TextBody"/>
        <w:bidi w:val="0"/>
        <w:spacing w:before="0" w:after="0"/>
        <w:jc w:val="center"/>
        <w:rPr>
          <w:rFonts w:ascii="Times New Roman;Times;Serif" w:hAnsi="Times New Roman;Times;Serif"/>
        </w:rPr>
      </w:pPr>
      <w:r>
        <w:rPr>
          <w:rFonts w:ascii="Times New Roman;Times;Serif" w:hAnsi="Times New Roman;Times;Serif"/>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rPr>
      </w:pPr>
      <w:r>
        <w:rPr>
          <w:rFonts w:ascii="Times New Roman;Times;Serif" w:hAnsi="Times New Roman;Times;Serif"/>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1_edei--SolicitingMaterial_c202609"/>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pPr>
      <w:r>
        <w:rPr/>
        <w:t>Securities registered pursuant to Section 12(b) of the Act:</w:t>
      </w:r>
    </w:p>
    <w:p>
      <w:pPr>
        <w:pStyle w:val="TextBody"/>
        <w:bidi w:val="0"/>
        <w:spacing w:before="0" w:after="0"/>
        <w:jc w:val="left"/>
        <w:rPr/>
      </w:pPr>
      <w:r>
        <w:rPr/>
        <w:t> </w:t>
      </w:r>
    </w:p>
    <w:tbl>
      <w:tblPr>
        <w:tblW w:w="8835" w:type="dxa"/>
        <w:jc w:val="left"/>
        <w:tblInd w:w="-10" w:type="dxa"/>
        <w:tblLayout w:type="fixed"/>
        <w:tblCellMar>
          <w:top w:w="40" w:type="dxa"/>
          <w:left w:w="28" w:type="dxa"/>
          <w:bottom w:w="0" w:type="dxa"/>
          <w:right w:w="0" w:type="dxa"/>
        </w:tblCellMar>
      </w:tblPr>
      <w:tblGrid>
        <w:gridCol w:w="3515"/>
        <w:gridCol w:w="1610"/>
        <w:gridCol w:w="3710"/>
      </w:tblGrid>
      <w:tr>
        <w:trPr/>
        <w:tc>
          <w:tcPr>
            <w:tcW w:w="35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sz w:val="20"/>
              </w:rPr>
            </w:pPr>
            <w:bookmarkStart w:id="19" w:name="xdx_905_edei--Security12bTitle_c20260915"/>
            <w:bookmarkEnd w:id="19"/>
            <w:r>
              <w:rPr>
                <w:sz w:val="20"/>
              </w:rPr>
              <w:t>Common Stock, par value $0.001 per share</w:t>
            </w:r>
          </w:p>
        </w:tc>
        <w:tc>
          <w:tcPr>
            <w:tcW w:w="1610"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sz w:val="20"/>
              </w:rPr>
            </w:pPr>
            <w:bookmarkStart w:id="20" w:name="xdx_90F_edei--TradingSymbol_c20260915__2"/>
            <w:bookmarkEnd w:id="20"/>
            <w:r>
              <w:rPr>
                <w:sz w:val="20"/>
              </w:rPr>
              <w:t>SRRK</w:t>
            </w:r>
          </w:p>
        </w:tc>
        <w:tc>
          <w:tcPr>
            <w:tcW w:w="3710" w:type="dxa"/>
            <w:tcBorders>
              <w:top w:val="single" w:sz="8" w:space="0" w:color="000000"/>
              <w:left w:val="single" w:sz="8" w:space="0" w:color="000000"/>
              <w:bottom w:val="single" w:sz="8" w:space="0" w:color="000000"/>
              <w:right w:val="single" w:sz="8" w:space="0" w:color="000000"/>
            </w:tcBorders>
            <w:tcMar>
              <w:bottom w:w="40" w:type="dxa"/>
              <w:right w:w="28" w:type="dxa"/>
            </w:tcMar>
            <w:vAlign w:val="center"/>
          </w:tcPr>
          <w:p>
            <w:pPr>
              <w:pStyle w:val="TableContents"/>
              <w:bidi w:val="0"/>
              <w:spacing w:before="0" w:after="283"/>
              <w:jc w:val="center"/>
              <w:rPr>
                <w:sz w:val="20"/>
              </w:rPr>
            </w:pPr>
            <w:bookmarkStart w:id="21" w:name="xdx_90A_edei--SecurityExchangeName_c2026"/>
            <w:bookmarkEnd w:id="21"/>
            <w:r>
              <w:rPr>
                <w:sz w:val="20"/>
              </w:rPr>
              <w:t>The Nasdaq Global Select Market</w:t>
            </w:r>
          </w:p>
        </w:tc>
      </w:tr>
    </w:tbl>
    <w:p>
      <w:pPr>
        <w:pStyle w:val="TextBody"/>
        <w:bidi w:val="0"/>
        <w:spacing w:before="0" w:after="0"/>
        <w:jc w:val="left"/>
        <w:rPr/>
      </w:pPr>
      <w:r>
        <w:rPr/>
        <w:t> </w:t>
      </w:r>
    </w:p>
    <w:p>
      <w:pPr>
        <w:pStyle w:val="TextBody"/>
        <w:bidi w:val="0"/>
        <w:spacing w:before="0" w:after="0"/>
        <w:jc w:val="left"/>
        <w:rPr/>
      </w:pPr>
      <w:r>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2" w:name="xdx_906_edei--EntityEmergingGrowthCompan"/>
      <w:bookmarkEnd w:id="22"/>
      <w:r>
        <w:rPr/>
        <w:t>☐</w:t>
      </w:r>
    </w:p>
    <w:p>
      <w:pPr>
        <w:pStyle w:val="TextBody"/>
        <w:bidi w:val="0"/>
        <w:spacing w:before="0" w:after="0"/>
        <w:jc w:val="left"/>
        <w:rPr/>
      </w:pPr>
      <w:r>
        <w:rPr/>
        <w:t> </w:t>
      </w:r>
    </w:p>
    <w:p>
      <w:pPr>
        <w:pStyle w:val="TextBody"/>
        <w:bidi w:val="0"/>
        <w:spacing w:before="0" w:after="0"/>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Scholar Rock Holding Corporation (the “Company”) hosted a live audio webcast (the “Investor Call”) announcing that the U.S. Food and Drug Administration (“FDA”) has approved ISEMBYLD™ (apitegromab-mstn) for the treatment of spinal muscular atrophy in adults and children 2 years of age and older who are currently receiving a survival motor neuron 2 (SMN2)-targeted treatment. During the “questions and answers” portion of the Investor Call, the Company’s management stated in error that the FDA did not require any post-marketing safety commitments regarding bone or reproductive safety of ISEMBYLD. In connection with its approval of ISEMBYLD, the FDA outlined a post-marketing requirement that the Company establish a pregnancy safety study to collect and analyze information on pregnancy complications and birth outcomes for exposed pregnancies. Separately, the FDA also requested that the Company submit all serious and non-serious domestic and/or foreign cases of fractures as 15-day “alert reports.” The Company intends to conduct this study and submit any such reports in compliance with the FDA’s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135"/>
        <w:gridCol w:w="320"/>
        <w:gridCol w:w="3230"/>
      </w:tblGrid>
      <w:tr>
        <w:trPr/>
        <w:tc>
          <w:tcPr>
            <w:tcW w:w="213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Scholar Rock Holding Corporation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Junlin Ho</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Junlin Ho</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598</Words>
  <Characters>3297</Characters>
  <CharactersWithSpaces>3895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