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Scholar Rock Holding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Redmile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4,311,092.00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4,311,092.00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4,311,092.00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in Item 4 relating to the shares of the Issuer's common stock, par value $0.001 per share ("Common Stock"), that are or may be deemed beneficially owned by Redmile Group, LLC and the calculation of the percent of such class of securities is incorporated herein by reference.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Jeremy C. Green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4,311,092.00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4,311,092.00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4,311,092.00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in Item 4 relating to the shares of Common Stock that are or may be deemed beneficially owned by Jeremy C. Green and the calculation of the percent of such class of securities is incorporated herein by reference.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RedCo II Master Fund,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 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Scholar Rock Holding Corporation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Binney Street, 3rd Floor,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Redmile Group, LLC Jeremy C. Green RedCo II Master Fund,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Redmile Group, LLC 900 Larkspur Landing Circle, Suite 270 Larkspur, California 94939 Jeremy C. Green c/o Redmile Group, LLC (NY Office) 45 W. 27th Street, Floor 11 New York, NY 10001 RedCo II Master Fund, L.P. c/o Redmile Group, LLC 900 Larkspur Landing Circle, Suite 270 Larkspur, California 94939</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Redmile Group, LLC: Delaware Jeremy C. Green: United Kingdom RedCo II Master Fund, L.P.: Cayman Islands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Redmile Group, LLC - 4,311,092 (1) Jeremy C. Green - 4,311,092 (1) RedCo II Master Fund, L.P. - 0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Redmile Group, LLC - 3.6% (2) Jeremy C. Green - 3.6% (2) RedCo II Master Fund, L.P. - 0.0%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Redmile Group, LLC - 0 Jeremy C. Green - 0 RedCo II Master Fund, L.P.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Redmile Group, LLC - 4,311,092 (1) Jeremy C. Green - 4,311,092 (1) RedCo II Master Fund, L.P.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Redmile Group, LLC - 0 Jeremy C. Green - 0 RedCo II Master Fund, L.P.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Redmile Group, LLC - 4,311,092 (1) Jeremy C. Green - 4,311,092 (1) RedCo II Master Fund, L.P. - 0 (1) Redmile Group, LLC's ("Redmile") and Jeremy C. Green's beneficial ownership of the Issuer's Common Stock is comprised of 4,311,092 shares of Common Stock. All of such shares of Common Stock are directly owned by certain investment vehicles for which Redmile is the investment manager (the "Redmile Funds"). Redmile may be deemed to beneficially own these securities in its capacity as their investment manager with discretion to vote and dispose of all shares of Common Stock held by the Redmile Funds. Mr. Green also may be deemed to beneficially own these securities as the principal of Redmile. Redmile and Mr. Green each disclaim beneficial ownership of these securities, except to the extent of its or his pecuniary interest in such securities, if any. (2) Percentage for Redmile and Jeremy Green based on 119,828,338 shares of Common Stock outstanding as of May 4, 2026, as reported by the Issuer in its Form 10-Q for the quarterly period ended March 31, 2026 filed with the SEC on May 7,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the response to Item 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Redmile Group,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Jeremy C. Green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Jeremy C. Green</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Jeremy C. Green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Jeremy C. Green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RedCo II Master Fund,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Jeremy C. Green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Managing Member of RedCo II (GP), LLC, general partner of RedCo II Master Fund, L.P.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1504</Words>
  <Characters>7491</Characters>
  <CharactersWithSpaces>8949</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